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53" w:rsidRDefault="00080B53" w:rsidP="00817F82">
      <w:pPr>
        <w:pStyle w:val="Titre4"/>
        <w:rPr>
          <w:lang w:val="en-US"/>
        </w:rPr>
      </w:pPr>
      <w:bookmarkStart w:id="0" w:name="_Toc367791750"/>
      <w:bookmarkStart w:id="1" w:name="_GoBack"/>
      <w:bookmarkEnd w:id="1"/>
      <w:r>
        <w:rPr>
          <w:noProof/>
          <w:lang w:eastAsia="fr-FR"/>
        </w:rPr>
        <w:drawing>
          <wp:inline distT="0" distB="0" distL="0" distR="0" wp14:anchorId="488B9BB0">
            <wp:extent cx="2883535" cy="8045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3535" cy="804545"/>
                    </a:xfrm>
                    <a:prstGeom prst="rect">
                      <a:avLst/>
                    </a:prstGeom>
                    <a:noFill/>
                  </pic:spPr>
                </pic:pic>
              </a:graphicData>
            </a:graphic>
          </wp:inline>
        </w:drawing>
      </w:r>
    </w:p>
    <w:p w:rsidR="00817F82" w:rsidRPr="00E40B00" w:rsidRDefault="00817F82" w:rsidP="00817F82">
      <w:pPr>
        <w:pStyle w:val="Titre4"/>
        <w:rPr>
          <w:lang w:val="en-GB"/>
        </w:rPr>
      </w:pPr>
      <w:proofErr w:type="spellStart"/>
      <w:r w:rsidRPr="00861258">
        <w:rPr>
          <w:lang w:val="en-US"/>
        </w:rPr>
        <w:t>Galea</w:t>
      </w:r>
      <w:proofErr w:type="spellEnd"/>
      <w:r w:rsidRPr="00861258">
        <w:rPr>
          <w:lang w:val="en-US"/>
        </w:rPr>
        <w:t xml:space="preserve">, J., </w:t>
      </w:r>
      <w:smartTag w:uri="urn:schemas-microsoft-com:office:smarttags" w:element="place">
        <w:smartTag w:uri="urn:schemas-microsoft-com:office:smarttags" w:element="City">
          <w:r w:rsidRPr="00861258">
            <w:rPr>
              <w:lang w:val="en-US"/>
            </w:rPr>
            <w:t>Butler</w:t>
          </w:r>
        </w:smartTag>
      </w:smartTag>
      <w:r w:rsidRPr="00861258">
        <w:rPr>
          <w:lang w:val="en-US"/>
        </w:rPr>
        <w:t xml:space="preserve">, J., &amp; </w:t>
      </w:r>
      <w:proofErr w:type="spellStart"/>
      <w:r w:rsidRPr="00861258">
        <w:rPr>
          <w:lang w:val="en-US"/>
        </w:rPr>
        <w:t>Iacono</w:t>
      </w:r>
      <w:proofErr w:type="spellEnd"/>
      <w:r w:rsidRPr="00861258">
        <w:rPr>
          <w:lang w:val="en-US"/>
        </w:rPr>
        <w:t xml:space="preserve">, T. (2004). </w:t>
      </w:r>
      <w:r w:rsidRPr="00EA5B59">
        <w:rPr>
          <w:lang w:val="en-US"/>
        </w:rPr>
        <w:t>The assessment of sexual knowledge in people with intellectual disability.</w:t>
      </w:r>
      <w:r w:rsidRPr="00861258">
        <w:rPr>
          <w:lang w:val="en-US"/>
        </w:rPr>
        <w:t xml:space="preserve"> </w:t>
      </w:r>
      <w:r w:rsidRPr="00E40B00">
        <w:rPr>
          <w:i/>
          <w:lang w:val="en-GB"/>
        </w:rPr>
        <w:t>Journal of Intellectual &amp; Developmental Disability</w:t>
      </w:r>
      <w:r w:rsidRPr="00E40B00">
        <w:rPr>
          <w:lang w:val="en-GB"/>
        </w:rPr>
        <w:t xml:space="preserve">, </w:t>
      </w:r>
      <w:r w:rsidRPr="00E40B00">
        <w:rPr>
          <w:i/>
          <w:lang w:val="en-GB"/>
        </w:rPr>
        <w:t>29 (4)</w:t>
      </w:r>
      <w:r w:rsidRPr="00E40B00">
        <w:rPr>
          <w:lang w:val="en-GB"/>
        </w:rPr>
        <w:t>, 350 – 365.</w:t>
      </w:r>
      <w:bookmarkEnd w:id="0"/>
      <w:r w:rsidRPr="00E40B00">
        <w:rPr>
          <w:lang w:val="en-GB"/>
        </w:rPr>
        <w:t xml:space="preserve"> </w:t>
      </w:r>
    </w:p>
    <w:p w:rsidR="00817F82" w:rsidRPr="00E40B00" w:rsidRDefault="00817F82" w:rsidP="00817F82">
      <w:pPr>
        <w:jc w:val="left"/>
        <w:rPr>
          <w:lang w:val="en-GB"/>
        </w:rPr>
      </w:pPr>
    </w:p>
    <w:p w:rsidR="00817F82" w:rsidRPr="00E40B00" w:rsidRDefault="00817F82" w:rsidP="00817F82">
      <w:pPr>
        <w:jc w:val="left"/>
        <w:rPr>
          <w:lang w:val="en-GB"/>
        </w:rPr>
      </w:pPr>
      <w:r w:rsidRPr="00E40B00">
        <w:rPr>
          <w:lang w:val="en-GB"/>
        </w:rPr>
        <w:t>Keywords: emotional and sexual life, intellectual disability, social and psychosocial support.</w:t>
      </w:r>
    </w:p>
    <w:p w:rsidR="00817F82" w:rsidRPr="00E40B00" w:rsidRDefault="00817F82" w:rsidP="00817F82">
      <w:pPr>
        <w:jc w:val="left"/>
        <w:rPr>
          <w:lang w:val="en-GB"/>
        </w:rPr>
      </w:pPr>
    </w:p>
    <w:p w:rsidR="00817F82" w:rsidRPr="00E40B00" w:rsidRDefault="00817F82" w:rsidP="00817F82">
      <w:pPr>
        <w:jc w:val="left"/>
        <w:rPr>
          <w:lang w:val="en-GB"/>
        </w:rPr>
      </w:pPr>
      <w:r w:rsidRPr="00E40B00">
        <w:rPr>
          <w:lang w:val="en-GB"/>
        </w:rPr>
        <w:t>This paper is the result of an Australian research project on the pertinence of a tool to measure sexual understanding in people with dis</w:t>
      </w:r>
      <w:r>
        <w:rPr>
          <w:lang w:val="en-GB"/>
        </w:rPr>
        <w:t>abilities. The tool in question</w:t>
      </w:r>
      <w:r w:rsidRPr="00E40B00">
        <w:rPr>
          <w:lang w:val="en-GB"/>
        </w:rPr>
        <w:t xml:space="preserve"> is called </w:t>
      </w:r>
      <w:r w:rsidRPr="00E40B00">
        <w:rPr>
          <w:i/>
          <w:lang w:val="en-GB"/>
        </w:rPr>
        <w:t>Assessment of Sexual Knowledge</w:t>
      </w:r>
      <w:r w:rsidRPr="00E40B00">
        <w:rPr>
          <w:lang w:val="en-GB"/>
        </w:rPr>
        <w:t xml:space="preserve"> (ASK). It takes the form of a questionnaire </w:t>
      </w:r>
      <w:r>
        <w:rPr>
          <w:lang w:val="en-GB"/>
        </w:rPr>
        <w:t>designed for use on people</w:t>
      </w:r>
      <w:r w:rsidRPr="00E40B00">
        <w:rPr>
          <w:lang w:val="en-GB"/>
        </w:rPr>
        <w:t xml:space="preserve"> with an intellectual disability. </w:t>
      </w:r>
    </w:p>
    <w:p w:rsidR="00817F82" w:rsidRPr="00E40B00" w:rsidRDefault="00817F82" w:rsidP="00817F82">
      <w:pPr>
        <w:jc w:val="left"/>
        <w:rPr>
          <w:lang w:val="en-GB"/>
        </w:rPr>
      </w:pPr>
    </w:p>
    <w:p w:rsidR="00817F82" w:rsidRPr="00806FA2" w:rsidRDefault="00817F82" w:rsidP="00817F82">
      <w:pPr>
        <w:jc w:val="left"/>
        <w:rPr>
          <w:sz w:val="32"/>
          <w:lang w:val="en-US"/>
        </w:rPr>
      </w:pPr>
      <w:r w:rsidRPr="00E40B00">
        <w:rPr>
          <w:lang w:val="en-GB"/>
        </w:rPr>
        <w:lastRenderedPageBreak/>
        <w:t>The questionnaire deal with several issues (15) specifically relating to the body, relationships and sexual behaviour. Each interviewee was attributed a score based on the validity of his response. The aim was to gauge the level of knowledge rather than describe personal behaviour. Readers will find more information o</w:t>
      </w:r>
      <w:r>
        <w:rPr>
          <w:lang w:val="en-GB"/>
        </w:rPr>
        <w:t>n ASK in the following document</w:t>
      </w:r>
      <w:r w:rsidRPr="00E40B00">
        <w:rPr>
          <w:lang w:val="en-GB"/>
        </w:rPr>
        <w:t xml:space="preserve">: </w:t>
      </w:r>
      <w:r w:rsidRPr="00E40B00">
        <w:rPr>
          <w:szCs w:val="18"/>
          <w:lang w:val="en-GB" w:eastAsia="fr-FR"/>
        </w:rPr>
        <w:t xml:space="preserve">Butler, J., Leighton, D., &amp; </w:t>
      </w:r>
      <w:proofErr w:type="spellStart"/>
      <w:r w:rsidRPr="00E40B00">
        <w:rPr>
          <w:szCs w:val="18"/>
          <w:lang w:val="en-GB" w:eastAsia="fr-FR"/>
        </w:rPr>
        <w:t>Galea</w:t>
      </w:r>
      <w:proofErr w:type="spellEnd"/>
      <w:r w:rsidRPr="00E40B00">
        <w:rPr>
          <w:szCs w:val="18"/>
          <w:lang w:val="en-GB" w:eastAsia="fr-FR"/>
        </w:rPr>
        <w:t xml:space="preserve">, J. (2003). </w:t>
      </w:r>
      <w:r w:rsidRPr="00806FA2">
        <w:rPr>
          <w:i/>
          <w:iCs/>
          <w:szCs w:val="18"/>
          <w:lang w:val="en-US" w:eastAsia="fr-FR"/>
        </w:rPr>
        <w:t xml:space="preserve">The Assessment of Sexual Knowledge. </w:t>
      </w:r>
      <w:smartTag w:uri="urn:schemas-microsoft-com:office:smarttags" w:element="City">
        <w:r w:rsidRPr="00806FA2">
          <w:rPr>
            <w:szCs w:val="18"/>
            <w:lang w:val="en-US" w:eastAsia="fr-FR"/>
          </w:rPr>
          <w:t>Melbourne</w:t>
        </w:r>
      </w:smartTag>
      <w:r w:rsidRPr="00806FA2">
        <w:rPr>
          <w:szCs w:val="18"/>
          <w:lang w:val="en-US" w:eastAsia="fr-FR"/>
        </w:rPr>
        <w:t xml:space="preserve">: Centre for Developmental Disability Health </w:t>
      </w:r>
      <w:smartTag w:uri="urn:schemas-microsoft-com:office:smarttags" w:element="place">
        <w:smartTag w:uri="urn:schemas-microsoft-com:office:smarttags" w:element="State">
          <w:r w:rsidRPr="00806FA2">
            <w:rPr>
              <w:szCs w:val="18"/>
              <w:lang w:val="en-US" w:eastAsia="fr-FR"/>
            </w:rPr>
            <w:t>Victoria</w:t>
          </w:r>
        </w:smartTag>
      </w:smartTag>
      <w:r w:rsidRPr="00806FA2">
        <w:rPr>
          <w:szCs w:val="18"/>
          <w:lang w:val="en-US" w:eastAsia="fr-FR"/>
        </w:rPr>
        <w:t>.</w:t>
      </w:r>
    </w:p>
    <w:p w:rsidR="00817F82" w:rsidRPr="00806FA2" w:rsidRDefault="00817F82" w:rsidP="00817F82">
      <w:pPr>
        <w:jc w:val="left"/>
        <w:rPr>
          <w:lang w:val="en-US"/>
        </w:rPr>
      </w:pPr>
    </w:p>
    <w:p w:rsidR="00817F82" w:rsidRPr="00817F82" w:rsidRDefault="00817F82" w:rsidP="00817F82">
      <w:pPr>
        <w:jc w:val="center"/>
        <w:rPr>
          <w:color w:val="1F3864" w:themeColor="accent5" w:themeShade="80"/>
          <w:sz w:val="40"/>
          <w:szCs w:val="40"/>
          <w:lang w:val="en-GB"/>
        </w:rPr>
      </w:pPr>
      <w:r w:rsidRPr="00817F82">
        <w:rPr>
          <w:color w:val="1F3864" w:themeColor="accent5" w:themeShade="80"/>
          <w:sz w:val="40"/>
          <w:szCs w:val="40"/>
          <w:lang w:val="en-GB"/>
        </w:rPr>
        <w:t>METHOD</w:t>
      </w:r>
    </w:p>
    <w:p w:rsidR="00817F82" w:rsidRPr="00E40B00" w:rsidRDefault="00817F82" w:rsidP="00817F82">
      <w:pPr>
        <w:jc w:val="left"/>
        <w:rPr>
          <w:lang w:val="en-GB"/>
        </w:rPr>
      </w:pPr>
    </w:p>
    <w:p w:rsidR="00817F82" w:rsidRPr="00E40B00" w:rsidRDefault="00817F82" w:rsidP="00817F82">
      <w:pPr>
        <w:jc w:val="left"/>
        <w:rPr>
          <w:lang w:val="en-GB"/>
        </w:rPr>
      </w:pPr>
      <w:r w:rsidRPr="00E40B00">
        <w:rPr>
          <w:lang w:val="en-GB"/>
        </w:rPr>
        <w:t xml:space="preserve">ASK questionnaires were given to 96 people (54 men and 42 women) with intellectual disabilities, aged between 18 and 57 (the mean age was 31 to 32 years old). Personal information on participants (nationality, place of birth) was given by professional </w:t>
      </w:r>
      <w:proofErr w:type="spellStart"/>
      <w:r w:rsidRPr="00E40B00">
        <w:rPr>
          <w:lang w:val="en-GB"/>
        </w:rPr>
        <w:t>carers</w:t>
      </w:r>
      <w:proofErr w:type="spellEnd"/>
      <w:r w:rsidRPr="00E40B00">
        <w:rPr>
          <w:lang w:val="en-GB"/>
        </w:rPr>
        <w:t xml:space="preserve">. Participants were from </w:t>
      </w:r>
      <w:smartTag w:uri="urn:schemas-microsoft-com:office:smarttags" w:element="City">
        <w:r w:rsidRPr="00E40B00">
          <w:rPr>
            <w:lang w:val="en-GB"/>
          </w:rPr>
          <w:t>Melbourne</w:t>
        </w:r>
      </w:smartTag>
      <w:r w:rsidRPr="00E40B00">
        <w:rPr>
          <w:lang w:val="en-GB"/>
        </w:rPr>
        <w:t xml:space="preserve"> (</w:t>
      </w:r>
      <w:smartTag w:uri="urn:schemas-microsoft-com:office:smarttags" w:element="country-region">
        <w:smartTag w:uri="urn:schemas-microsoft-com:office:smarttags" w:element="place">
          <w:r w:rsidRPr="00E40B00">
            <w:rPr>
              <w:lang w:val="en-GB"/>
            </w:rPr>
            <w:t>Australia</w:t>
          </w:r>
        </w:smartTag>
      </w:smartTag>
      <w:r w:rsidRPr="00E40B00">
        <w:rPr>
          <w:lang w:val="en-GB"/>
        </w:rPr>
        <w:t xml:space="preserve">); around half of them lived with their families, and around 40% lived in residential care. </w:t>
      </w:r>
    </w:p>
    <w:p w:rsidR="00817F82" w:rsidRPr="00E40B00" w:rsidRDefault="00817F82" w:rsidP="00817F82">
      <w:pPr>
        <w:jc w:val="left"/>
        <w:rPr>
          <w:lang w:val="en-GB"/>
        </w:rPr>
      </w:pPr>
      <w:r w:rsidRPr="00E40B00">
        <w:rPr>
          <w:lang w:val="en-GB"/>
        </w:rPr>
        <w:lastRenderedPageBreak/>
        <w:t xml:space="preserve">According to the authors, each person questioned was able to respond his/herself to the questions. They were « recruited » by professional carers who either work with them or for organisations that know them. The agreement of these intermediaries was necessary before </w:t>
      </w:r>
      <w:proofErr w:type="spellStart"/>
      <w:r w:rsidRPr="00E40B00">
        <w:rPr>
          <w:lang w:val="en-GB"/>
        </w:rPr>
        <w:t>fillling</w:t>
      </w:r>
      <w:proofErr w:type="spellEnd"/>
      <w:r w:rsidRPr="00E40B00">
        <w:rPr>
          <w:lang w:val="en-GB"/>
        </w:rPr>
        <w:t xml:space="preserve"> out the questionnaire. The responses to the questionnaire were confidential.</w:t>
      </w:r>
    </w:p>
    <w:p w:rsidR="00817F82" w:rsidRPr="00E40B00" w:rsidRDefault="00817F82" w:rsidP="00817F82">
      <w:pPr>
        <w:jc w:val="left"/>
        <w:rPr>
          <w:lang w:val="en-GB"/>
        </w:rPr>
      </w:pPr>
    </w:p>
    <w:p w:rsidR="00817F82" w:rsidRPr="00817F82" w:rsidRDefault="00817F82" w:rsidP="00817F82">
      <w:pPr>
        <w:jc w:val="center"/>
        <w:rPr>
          <w:color w:val="1F3864" w:themeColor="accent5" w:themeShade="80"/>
          <w:sz w:val="40"/>
          <w:szCs w:val="40"/>
          <w:lang w:val="en-GB"/>
        </w:rPr>
      </w:pPr>
      <w:r w:rsidRPr="00817F82">
        <w:rPr>
          <w:color w:val="1F3864" w:themeColor="accent5" w:themeShade="80"/>
          <w:sz w:val="40"/>
          <w:szCs w:val="40"/>
          <w:lang w:val="en-GB"/>
        </w:rPr>
        <w:t>RESULTS</w:t>
      </w:r>
    </w:p>
    <w:p w:rsidR="00817F82" w:rsidRPr="00E40B00" w:rsidRDefault="00817F82" w:rsidP="00817F82">
      <w:pPr>
        <w:jc w:val="left"/>
        <w:rPr>
          <w:lang w:val="en-GB"/>
        </w:rPr>
      </w:pPr>
    </w:p>
    <w:p w:rsidR="00817F82" w:rsidRPr="00E40B00" w:rsidRDefault="00817F82" w:rsidP="00817F82">
      <w:pPr>
        <w:jc w:val="left"/>
        <w:rPr>
          <w:lang w:val="en-GB"/>
        </w:rPr>
      </w:pPr>
      <w:r w:rsidRPr="00E40B00">
        <w:rPr>
          <w:lang w:val="en-GB"/>
        </w:rPr>
        <w:t xml:space="preserve">The results show gaps in knowledge of sexuality in people with intellectual disabilities. These gaps are considered to be significant on the question of puberty, menstruation, sexually transmitted diseases, contraception and legal issues. These results led the authors to consider that people with intellectual disabilities are being inappropriately taught. </w:t>
      </w:r>
    </w:p>
    <w:p w:rsidR="00817F82" w:rsidRDefault="00817F82" w:rsidP="00817F82">
      <w:pPr>
        <w:jc w:val="left"/>
        <w:rPr>
          <w:lang w:val="en-GB"/>
        </w:rPr>
      </w:pPr>
    </w:p>
    <w:p w:rsidR="00817F82" w:rsidRPr="00E40B00" w:rsidRDefault="00817F82" w:rsidP="00817F82">
      <w:pPr>
        <w:jc w:val="left"/>
        <w:rPr>
          <w:lang w:val="en-GB"/>
        </w:rPr>
      </w:pPr>
    </w:p>
    <w:p w:rsidR="00817F82" w:rsidRPr="00817F82" w:rsidRDefault="00817F82" w:rsidP="00817F82">
      <w:pPr>
        <w:jc w:val="center"/>
        <w:rPr>
          <w:color w:val="1F3864" w:themeColor="accent5" w:themeShade="80"/>
          <w:sz w:val="40"/>
          <w:szCs w:val="40"/>
          <w:lang w:val="en-GB"/>
        </w:rPr>
      </w:pPr>
      <w:r w:rsidRPr="00817F82">
        <w:rPr>
          <w:color w:val="1F3864" w:themeColor="accent5" w:themeShade="80"/>
          <w:sz w:val="40"/>
          <w:szCs w:val="40"/>
          <w:lang w:val="en-GB"/>
        </w:rPr>
        <w:lastRenderedPageBreak/>
        <w:t>RECOMMENDATIONS</w:t>
      </w:r>
    </w:p>
    <w:p w:rsidR="00817F82" w:rsidRPr="00E40B00" w:rsidRDefault="00817F82" w:rsidP="00817F82">
      <w:pPr>
        <w:jc w:val="left"/>
        <w:rPr>
          <w:lang w:val="en-GB"/>
        </w:rPr>
      </w:pPr>
    </w:p>
    <w:p w:rsidR="00817F82" w:rsidRPr="00E40B00" w:rsidRDefault="00817F82" w:rsidP="00817F82">
      <w:pPr>
        <w:jc w:val="left"/>
        <w:rPr>
          <w:lang w:val="en-GB"/>
        </w:rPr>
      </w:pPr>
      <w:r w:rsidRPr="00E40B00">
        <w:rPr>
          <w:lang w:val="en-GB"/>
        </w:rPr>
        <w:t>According to the authors, the ASK tool could be useful for educators (working with people with intellectual disabilities), in order to evaluate and develop teaching content for sex education programmes.</w:t>
      </w:r>
    </w:p>
    <w:p w:rsidR="00817F82" w:rsidRPr="00E40B00" w:rsidRDefault="00817F82" w:rsidP="00817F82">
      <w:pPr>
        <w:rPr>
          <w:lang w:val="en-GB"/>
        </w:rPr>
      </w:pPr>
    </w:p>
    <w:p w:rsidR="00080B53" w:rsidRDefault="00080B53" w:rsidP="00080B53">
      <w:pPr>
        <w:pBdr>
          <w:top w:val="single" w:sz="4" w:space="1" w:color="auto"/>
          <w:left w:val="single" w:sz="4" w:space="4" w:color="auto"/>
          <w:bottom w:val="single" w:sz="4" w:space="1" w:color="auto"/>
          <w:right w:val="single" w:sz="4" w:space="4" w:color="auto"/>
        </w:pBdr>
        <w:rPr>
          <w:rFonts w:ascii="Calibri" w:hAnsi="Calibri" w:cs="Times New Roman"/>
          <w:color w:val="auto"/>
          <w:szCs w:val="24"/>
          <w:lang w:val="en-GB"/>
        </w:rPr>
      </w:pPr>
      <w:r>
        <w:rPr>
          <w:szCs w:val="24"/>
          <w:lang w:val="en-GB"/>
        </w:rPr>
        <w:t xml:space="preserve">This document stems from a project by the Centre </w:t>
      </w:r>
      <w:proofErr w:type="spellStart"/>
      <w:r>
        <w:rPr>
          <w:szCs w:val="24"/>
          <w:lang w:val="en-GB"/>
        </w:rPr>
        <w:t>Ressources</w:t>
      </w:r>
      <w:proofErr w:type="spellEnd"/>
      <w:r>
        <w:rPr>
          <w:szCs w:val="24"/>
          <w:lang w:val="en-GB"/>
        </w:rPr>
        <w:t xml:space="preserve"> and its partners: the </w:t>
      </w:r>
      <w:proofErr w:type="spellStart"/>
      <w:r>
        <w:rPr>
          <w:szCs w:val="24"/>
          <w:lang w:val="en-GB"/>
        </w:rPr>
        <w:t>CeRHes</w:t>
      </w:r>
      <w:proofErr w:type="spellEnd"/>
      <w:r>
        <w:rPr>
          <w:szCs w:val="24"/>
          <w:lang w:val="en-GB"/>
        </w:rPr>
        <w:t xml:space="preserve"> (Centre </w:t>
      </w:r>
      <w:proofErr w:type="spellStart"/>
      <w:r>
        <w:rPr>
          <w:szCs w:val="24"/>
          <w:lang w:val="en-GB"/>
        </w:rPr>
        <w:t>Ressources</w:t>
      </w:r>
      <w:proofErr w:type="spellEnd"/>
      <w:r>
        <w:rPr>
          <w:szCs w:val="24"/>
          <w:lang w:val="en-GB"/>
        </w:rPr>
        <w:t xml:space="preserve"> Handicaps et </w:t>
      </w:r>
      <w:proofErr w:type="spellStart"/>
      <w:r>
        <w:rPr>
          <w:szCs w:val="24"/>
          <w:lang w:val="en-GB"/>
        </w:rPr>
        <w:t>Sexualités</w:t>
      </w:r>
      <w:proofErr w:type="spellEnd"/>
      <w:r>
        <w:rPr>
          <w:szCs w:val="24"/>
          <w:lang w:val="en-GB"/>
        </w:rPr>
        <w:t>), CH(s</w:t>
      </w:r>
      <w:proofErr w:type="gramStart"/>
      <w:r>
        <w:rPr>
          <w:szCs w:val="24"/>
          <w:lang w:val="en-GB"/>
        </w:rPr>
        <w:t>)OSE</w:t>
      </w:r>
      <w:proofErr w:type="gramEnd"/>
      <w:r>
        <w:rPr>
          <w:szCs w:val="24"/>
          <w:lang w:val="en-GB"/>
        </w:rPr>
        <w:t xml:space="preserve"> (</w:t>
      </w:r>
      <w:proofErr w:type="spellStart"/>
      <w:r>
        <w:rPr>
          <w:szCs w:val="24"/>
          <w:lang w:val="en-GB"/>
        </w:rPr>
        <w:t>Collectif</w:t>
      </w:r>
      <w:proofErr w:type="spellEnd"/>
      <w:r>
        <w:rPr>
          <w:szCs w:val="24"/>
          <w:lang w:val="en-GB"/>
        </w:rPr>
        <w:t xml:space="preserve"> Handicap et </w:t>
      </w:r>
      <w:proofErr w:type="spellStart"/>
      <w:r>
        <w:rPr>
          <w:szCs w:val="24"/>
          <w:lang w:val="en-GB"/>
        </w:rPr>
        <w:t>Sexualité</w:t>
      </w:r>
      <w:proofErr w:type="spellEnd"/>
      <w:r>
        <w:rPr>
          <w:szCs w:val="24"/>
          <w:lang w:val="en-GB"/>
        </w:rPr>
        <w:t xml:space="preserve"> OSE), CCAH (</w:t>
      </w:r>
      <w:proofErr w:type="spellStart"/>
      <w:r>
        <w:rPr>
          <w:szCs w:val="24"/>
          <w:lang w:val="en-GB"/>
        </w:rPr>
        <w:t>Comité</w:t>
      </w:r>
      <w:proofErr w:type="spellEnd"/>
      <w:r>
        <w:rPr>
          <w:szCs w:val="24"/>
          <w:lang w:val="en-GB"/>
        </w:rPr>
        <w:t xml:space="preserve"> National Coordination Action Handicap). It was written by </w:t>
      </w:r>
      <w:proofErr w:type="spellStart"/>
      <w:r>
        <w:rPr>
          <w:szCs w:val="24"/>
          <w:lang w:val="en-GB"/>
        </w:rPr>
        <w:t>Aurélien</w:t>
      </w:r>
      <w:proofErr w:type="spellEnd"/>
      <w:r>
        <w:rPr>
          <w:szCs w:val="24"/>
          <w:lang w:val="en-GB"/>
        </w:rPr>
        <w:t xml:space="preserve"> </w:t>
      </w:r>
      <w:proofErr w:type="spellStart"/>
      <w:r>
        <w:rPr>
          <w:szCs w:val="24"/>
          <w:lang w:val="en-GB"/>
        </w:rPr>
        <w:t>Berthou</w:t>
      </w:r>
      <w:proofErr w:type="spellEnd"/>
      <w:r>
        <w:rPr>
          <w:szCs w:val="24"/>
          <w:lang w:val="en-GB"/>
        </w:rPr>
        <w:t xml:space="preserve"> (doctoral student in sociology at the CERLIS, Centre de </w:t>
      </w:r>
      <w:proofErr w:type="spellStart"/>
      <w:r>
        <w:rPr>
          <w:szCs w:val="24"/>
          <w:lang w:val="en-GB"/>
        </w:rPr>
        <w:t>recherches</w:t>
      </w:r>
      <w:proofErr w:type="spellEnd"/>
      <w:r>
        <w:rPr>
          <w:szCs w:val="24"/>
          <w:lang w:val="en-GB"/>
        </w:rPr>
        <w:t xml:space="preserve"> </w:t>
      </w:r>
      <w:proofErr w:type="spellStart"/>
      <w:r>
        <w:rPr>
          <w:szCs w:val="24"/>
          <w:lang w:val="en-GB"/>
        </w:rPr>
        <w:t>sur</w:t>
      </w:r>
      <w:proofErr w:type="spellEnd"/>
      <w:r>
        <w:rPr>
          <w:szCs w:val="24"/>
          <w:lang w:val="en-GB"/>
        </w:rPr>
        <w:t xml:space="preserve"> les liens </w:t>
      </w:r>
      <w:proofErr w:type="spellStart"/>
      <w:r>
        <w:rPr>
          <w:szCs w:val="24"/>
          <w:lang w:val="en-GB"/>
        </w:rPr>
        <w:t>sociaux</w:t>
      </w:r>
      <w:proofErr w:type="spellEnd"/>
      <w:r>
        <w:rPr>
          <w:szCs w:val="24"/>
          <w:lang w:val="en-GB"/>
        </w:rPr>
        <w:t xml:space="preserve">).  </w:t>
      </w:r>
    </w:p>
    <w:p w:rsidR="00FC3F78" w:rsidRPr="00817F82" w:rsidRDefault="00FC3F78">
      <w:pPr>
        <w:rPr>
          <w:lang w:val="en-GB"/>
        </w:rPr>
      </w:pPr>
    </w:p>
    <w:sectPr w:rsidR="00FC3F78" w:rsidRPr="00817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82"/>
    <w:rsid w:val="00080B53"/>
    <w:rsid w:val="00817F82"/>
    <w:rsid w:val="00FC3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D6CCF88-53CB-465B-9113-6820CC05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F82"/>
    <w:pPr>
      <w:spacing w:after="0" w:line="276" w:lineRule="auto"/>
      <w:jc w:val="both"/>
    </w:pPr>
    <w:rPr>
      <w:rFonts w:ascii="Calibri Light" w:eastAsia="Calibri" w:hAnsi="Calibri Light" w:cs="Arial"/>
      <w:color w:val="000000"/>
      <w:sz w:val="24"/>
    </w:rPr>
  </w:style>
  <w:style w:type="paragraph" w:styleId="Titre4">
    <w:name w:val="heading 4"/>
    <w:aliases w:val="Titre fiches"/>
    <w:basedOn w:val="Normal"/>
    <w:next w:val="Normal"/>
    <w:link w:val="Titre4Car"/>
    <w:qFormat/>
    <w:rsid w:val="00817F82"/>
    <w:pPr>
      <w:keepNext/>
      <w:spacing w:before="240" w:after="60"/>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Titre fiches Car"/>
    <w:basedOn w:val="Policepardfaut"/>
    <w:link w:val="Titre4"/>
    <w:rsid w:val="00817F82"/>
    <w:rPr>
      <w:rFonts w:ascii="Calibri" w:eastAsia="Times New Roman" w:hAnsi="Calibri"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2386</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2013-12-12T09:31:00Z</dcterms:created>
  <dcterms:modified xsi:type="dcterms:W3CDTF">2013-12-12T09:54:00Z</dcterms:modified>
</cp:coreProperties>
</file>