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47" w:rsidRPr="00523D69" w:rsidRDefault="00681347" w:rsidP="00523D69">
      <w:pPr>
        <w:pBdr>
          <w:top w:val="single" w:sz="4" w:space="1" w:color="009999"/>
          <w:left w:val="single" w:sz="4" w:space="4" w:color="009999"/>
          <w:bottom w:val="single" w:sz="4" w:space="1" w:color="009999"/>
          <w:right w:val="single" w:sz="4" w:space="4" w:color="009999"/>
        </w:pBdr>
        <w:shd w:val="clear" w:color="auto" w:fill="009999"/>
        <w:jc w:val="both"/>
        <w:rPr>
          <w:rFonts w:asciiTheme="majorHAnsi" w:hAnsiTheme="majorHAnsi"/>
          <w:color w:val="FFFFFF" w:themeColor="background1"/>
          <w:sz w:val="32"/>
        </w:rPr>
      </w:pPr>
      <w:bookmarkStart w:id="0" w:name="_GoBack"/>
      <w:bookmarkEnd w:id="0"/>
      <w:r w:rsidRPr="00523D69">
        <w:rPr>
          <w:rFonts w:asciiTheme="majorHAnsi" w:hAnsiTheme="majorHAnsi"/>
          <w:color w:val="FFFFFF" w:themeColor="background1"/>
          <w:sz w:val="32"/>
        </w:rPr>
        <w:t>Note méthodologique sur les produits issus de la recherche</w:t>
      </w:r>
    </w:p>
    <w:p w:rsidR="009D2453" w:rsidRPr="00523D69" w:rsidRDefault="002B1E91" w:rsidP="00523D69">
      <w:pPr>
        <w:jc w:val="both"/>
        <w:rPr>
          <w:rFonts w:asciiTheme="majorHAnsi" w:hAnsiTheme="majorHAnsi"/>
          <w:color w:val="009999"/>
          <w:sz w:val="26"/>
          <w:szCs w:val="26"/>
        </w:rPr>
      </w:pPr>
      <w:r>
        <w:rPr>
          <w:rFonts w:asciiTheme="majorHAnsi" w:hAnsiTheme="majorHAnsi"/>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6pt;margin-top:33.45pt;width:536.25pt;height:209.1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strokecolor="#099">
            <v:textbox style="mso-fit-shape-to-text:t">
              <w:txbxContent>
                <w:p w:rsidR="00523D69" w:rsidRPr="00523D69" w:rsidRDefault="00523D69" w:rsidP="00523D69">
                  <w:pPr>
                    <w:jc w:val="both"/>
                    <w:rPr>
                      <w:rFonts w:asciiTheme="majorHAnsi" w:hAnsiTheme="majorHAnsi"/>
                    </w:rPr>
                  </w:pPr>
                  <w:r w:rsidRPr="00523D69">
                    <w:rPr>
                      <w:rFonts w:asciiTheme="majorHAnsi" w:hAnsiTheme="majorHAnsi"/>
                    </w:rPr>
                    <w:t xml:space="preserve">Ce document a été réalisé par </w:t>
                  </w:r>
                  <w:r w:rsidRPr="00523D69">
                    <w:rPr>
                      <w:rFonts w:asciiTheme="majorHAnsi" w:hAnsiTheme="majorHAnsi"/>
                      <w:b/>
                      <w:color w:val="009999"/>
                    </w:rPr>
                    <w:t>Mme Geneviève Petitpierre</w:t>
                  </w:r>
                  <w:r w:rsidRPr="00523D69">
                    <w:rPr>
                      <w:rFonts w:asciiTheme="majorHAnsi" w:hAnsiTheme="majorHAnsi"/>
                    </w:rPr>
                    <w:t>, Professeure de Pédagogie spécialisée (Département de pédagogie spécialisée, Université de Fribourg,</w:t>
                  </w:r>
                  <w:r w:rsidR="00DF26B4">
                    <w:rPr>
                      <w:rFonts w:asciiTheme="majorHAnsi" w:hAnsiTheme="majorHAnsi"/>
                    </w:rPr>
                    <w:t xml:space="preserve"> </w:t>
                  </w:r>
                  <w:r w:rsidRPr="00523D69">
                    <w:rPr>
                      <w:rFonts w:asciiTheme="majorHAnsi" w:hAnsiTheme="majorHAnsi"/>
                    </w:rPr>
                    <w:t>Suisse).</w:t>
                  </w:r>
                </w:p>
                <w:p w:rsidR="00523D69" w:rsidRPr="00523D69" w:rsidRDefault="00523D69" w:rsidP="00523D69">
                  <w:pPr>
                    <w:jc w:val="both"/>
                    <w:rPr>
                      <w:rFonts w:asciiTheme="majorHAnsi" w:hAnsiTheme="majorHAnsi"/>
                    </w:rPr>
                  </w:pPr>
                  <w:r w:rsidRPr="00523D69">
                    <w:rPr>
                      <w:rFonts w:asciiTheme="majorHAnsi" w:hAnsiTheme="majorHAnsi"/>
                    </w:rPr>
                    <w:t xml:space="preserve">Il illustre l'articulation entre trois types de produits issus de la recherche : les résultats, les extrants (ou livrables) et les retombées. </w:t>
                  </w:r>
                </w:p>
                <w:p w:rsidR="00523D69" w:rsidRPr="00523D69" w:rsidRDefault="00523D69" w:rsidP="00523D69">
                  <w:pPr>
                    <w:jc w:val="both"/>
                    <w:rPr>
                      <w:rFonts w:asciiTheme="majorHAnsi" w:hAnsiTheme="majorHAnsi"/>
                    </w:rPr>
                  </w:pPr>
                  <w:r w:rsidRPr="00523D69">
                    <w:rPr>
                      <w:rFonts w:asciiTheme="majorHAnsi" w:hAnsiTheme="majorHAnsi"/>
                    </w:rPr>
                    <w:t>L'intérêt particulier de ce document réside dans l'explication sémantique de chacun de ces termes, en mettant en lumière le rôle central que jouent les extrants (livrables) dans le transfert entre les connaissances produites par les résultats de la recherche et les retombées véritables sur le « terrain ».</w:t>
                  </w:r>
                </w:p>
                <w:p w:rsidR="00523D69" w:rsidRPr="00523D69" w:rsidRDefault="00523D69" w:rsidP="00523D69">
                  <w:pPr>
                    <w:jc w:val="both"/>
                    <w:rPr>
                      <w:rFonts w:asciiTheme="majorHAnsi" w:hAnsiTheme="majorHAnsi"/>
                    </w:rPr>
                  </w:pPr>
                  <w:r w:rsidRPr="00523D69">
                    <w:rPr>
                      <w:rFonts w:asciiTheme="majorHAnsi" w:hAnsiTheme="majorHAnsi"/>
                    </w:rPr>
                    <w:t>Il positionne clairement ces extrants (livrables) comme une étape indispensable à la recherche appliquée. En s’adressant directement aux personnes handicapées, aux familles, aux professionnels qui les accompagnent et aux décideurs politiques, ils deviennent des outils concrets et opérationnels au service de la qualité de vie et la participation sociale des personnes handicapées.</w:t>
                  </w:r>
                </w:p>
              </w:txbxContent>
            </v:textbox>
            <w10:wrap type="topAndBottom"/>
          </v:shape>
        </w:pict>
      </w:r>
      <w:r w:rsidR="009D2453" w:rsidRPr="00523D69">
        <w:rPr>
          <w:rFonts w:asciiTheme="majorHAnsi" w:hAnsiTheme="majorHAnsi"/>
          <w:color w:val="009999"/>
          <w:sz w:val="26"/>
          <w:szCs w:val="26"/>
        </w:rPr>
        <w:t>Distinctions terminologiques entre l</w:t>
      </w:r>
      <w:r w:rsidR="00523D69" w:rsidRPr="00523D69">
        <w:rPr>
          <w:rFonts w:asciiTheme="majorHAnsi" w:hAnsiTheme="majorHAnsi"/>
          <w:color w:val="009999"/>
          <w:sz w:val="26"/>
          <w:szCs w:val="26"/>
        </w:rPr>
        <w:t>es notions de « résultats », d’</w:t>
      </w:r>
      <w:r w:rsidR="009D2453" w:rsidRPr="00523D69">
        <w:rPr>
          <w:rFonts w:asciiTheme="majorHAnsi" w:hAnsiTheme="majorHAnsi"/>
          <w:color w:val="009999"/>
          <w:sz w:val="26"/>
          <w:szCs w:val="26"/>
        </w:rPr>
        <w:t>« extrants » et de « retombées »</w:t>
      </w:r>
      <w:r w:rsidR="00523D69" w:rsidRPr="00523D69">
        <w:rPr>
          <w:rFonts w:asciiTheme="majorHAnsi" w:hAnsiTheme="majorHAnsi"/>
          <w:color w:val="009999"/>
          <w:sz w:val="26"/>
          <w:szCs w:val="26"/>
        </w:rPr>
        <w:t>.</w:t>
      </w:r>
    </w:p>
    <w:p w:rsidR="00681347" w:rsidRPr="00523D69" w:rsidRDefault="00681347" w:rsidP="00523D69">
      <w:pPr>
        <w:widowControl w:val="0"/>
        <w:autoSpaceDE w:val="0"/>
        <w:autoSpaceDN w:val="0"/>
        <w:adjustRightInd w:val="0"/>
        <w:spacing w:before="120" w:after="120" w:line="360" w:lineRule="auto"/>
        <w:jc w:val="both"/>
        <w:rPr>
          <w:rFonts w:asciiTheme="majorHAnsi" w:hAnsiTheme="majorHAnsi"/>
        </w:rPr>
      </w:pP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rPr>
      </w:pPr>
      <w:r w:rsidRPr="00523D69">
        <w:rPr>
          <w:rFonts w:asciiTheme="majorHAnsi" w:hAnsiTheme="majorHAnsi"/>
        </w:rPr>
        <w:t>Il est utile de distinguer, à l’issue d’un travail de recherche, tr</w:t>
      </w:r>
      <w:r w:rsidR="003E26B9" w:rsidRPr="00523D69">
        <w:rPr>
          <w:rFonts w:asciiTheme="majorHAnsi" w:hAnsiTheme="majorHAnsi"/>
        </w:rPr>
        <w:t xml:space="preserve">ois types </w:t>
      </w:r>
      <w:r w:rsidR="00233B78" w:rsidRPr="00523D69">
        <w:rPr>
          <w:rFonts w:asciiTheme="majorHAnsi" w:hAnsiTheme="majorHAnsi"/>
        </w:rPr>
        <w:t xml:space="preserve">de </w:t>
      </w:r>
      <w:r w:rsidR="003E26B9" w:rsidRPr="00523D69">
        <w:rPr>
          <w:rFonts w:asciiTheme="majorHAnsi" w:hAnsiTheme="majorHAnsi"/>
        </w:rPr>
        <w:t>« produits » (Figure 1</w:t>
      </w:r>
      <w:r w:rsidRPr="00523D69">
        <w:rPr>
          <w:rFonts w:asciiTheme="majorHAnsi" w:hAnsiTheme="majorHAnsi"/>
        </w:rPr>
        <w:t>), à savoir les résultats, les extrants (livrable</w:t>
      </w:r>
      <w:r w:rsidR="00681347" w:rsidRPr="00523D69">
        <w:rPr>
          <w:rFonts w:asciiTheme="majorHAnsi" w:hAnsiTheme="majorHAnsi"/>
        </w:rPr>
        <w:t>s</w:t>
      </w:r>
      <w:r w:rsidRPr="00523D69">
        <w:rPr>
          <w:rFonts w:asciiTheme="majorHAnsi" w:hAnsiTheme="majorHAnsi"/>
        </w:rPr>
        <w:t xml:space="preserve">) et les retombées. Ces produits s’articulent de façon successive. </w:t>
      </w:r>
    </w:p>
    <w:p w:rsidR="009D2453" w:rsidRPr="00523D69" w:rsidRDefault="00523D69" w:rsidP="00523D69">
      <w:pPr>
        <w:widowControl w:val="0"/>
        <w:autoSpaceDE w:val="0"/>
        <w:autoSpaceDN w:val="0"/>
        <w:adjustRightInd w:val="0"/>
        <w:spacing w:before="120" w:after="120" w:line="360" w:lineRule="auto"/>
        <w:jc w:val="center"/>
        <w:rPr>
          <w:rFonts w:asciiTheme="majorHAnsi" w:hAnsiTheme="majorHAnsi"/>
          <w:color w:val="009999"/>
          <w:sz w:val="22"/>
        </w:rPr>
      </w:pPr>
      <w:r w:rsidRPr="00523D69">
        <w:rPr>
          <w:rFonts w:asciiTheme="majorHAnsi" w:hAnsiTheme="majorHAnsi"/>
          <w:noProof/>
          <w:color w:val="009999"/>
          <w:sz w:val="22"/>
          <w:lang w:eastAsia="fr-FR"/>
        </w:rPr>
        <w:drawing>
          <wp:anchor distT="0" distB="0" distL="114300" distR="114300" simplePos="0" relativeHeight="251660288" behindDoc="0" locked="0" layoutInCell="1" allowOverlap="1" wp14:anchorId="4D070D65" wp14:editId="2299C27F">
            <wp:simplePos x="0" y="0"/>
            <wp:positionH relativeFrom="column">
              <wp:posOffset>1714500</wp:posOffset>
            </wp:positionH>
            <wp:positionV relativeFrom="paragraph">
              <wp:posOffset>115570</wp:posOffset>
            </wp:positionV>
            <wp:extent cx="3228975" cy="788035"/>
            <wp:effectExtent l="0" t="19050" r="9525" b="50165"/>
            <wp:wrapTopAndBottom/>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3E26B9" w:rsidRPr="00523D69">
        <w:rPr>
          <w:rFonts w:asciiTheme="majorHAnsi" w:hAnsiTheme="majorHAnsi"/>
          <w:color w:val="009999"/>
          <w:sz w:val="22"/>
        </w:rPr>
        <w:t>Figure 1</w:t>
      </w:r>
      <w:r w:rsidRPr="00523D69">
        <w:rPr>
          <w:rFonts w:asciiTheme="majorHAnsi" w:hAnsiTheme="majorHAnsi"/>
          <w:color w:val="009999"/>
          <w:sz w:val="22"/>
        </w:rPr>
        <w:t>.</w:t>
      </w:r>
      <w:r w:rsidR="009D2453" w:rsidRPr="00523D69">
        <w:rPr>
          <w:rFonts w:asciiTheme="majorHAnsi" w:hAnsiTheme="majorHAnsi"/>
          <w:color w:val="009999"/>
          <w:sz w:val="22"/>
        </w:rPr>
        <w:t xml:space="preserve"> Distinction entre trois types de produits issus de la recherche</w:t>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r w:rsidRPr="00523D69">
        <w:rPr>
          <w:rFonts w:asciiTheme="majorHAnsi" w:hAnsiTheme="majorHAnsi"/>
        </w:rPr>
        <w:t xml:space="preserve">On peut définir les </w:t>
      </w:r>
      <w:r w:rsidRPr="00523D69">
        <w:rPr>
          <w:rFonts w:asciiTheme="majorHAnsi" w:hAnsiTheme="majorHAnsi"/>
          <w:b/>
        </w:rPr>
        <w:t>résultats</w:t>
      </w:r>
      <w:r w:rsidRPr="00523D69">
        <w:rPr>
          <w:rFonts w:asciiTheme="majorHAnsi" w:hAnsiTheme="majorHAnsi"/>
        </w:rPr>
        <w:t xml:space="preserve"> comme « les</w:t>
      </w:r>
      <w:r w:rsidRPr="00523D69">
        <w:rPr>
          <w:rFonts w:asciiTheme="majorHAnsi" w:hAnsiTheme="majorHAnsi" w:cs="Arial"/>
        </w:rPr>
        <w:t xml:space="preserve"> constats ou connaissances nouvelles générées par la recherche ». Le RRSPQ (</w:t>
      </w:r>
      <w:r w:rsidRPr="00523D69">
        <w:rPr>
          <w:rFonts w:asciiTheme="majorHAnsi" w:eastAsia="Times New Roman" w:hAnsiTheme="majorHAnsi" w:cstheme="minorBidi"/>
          <w:iCs/>
          <w:lang w:eastAsia="ja-JP"/>
        </w:rPr>
        <w:t>Réseau de recherche en santé des populations du Québec</w:t>
      </w:r>
      <w:r w:rsidRPr="00523D69">
        <w:rPr>
          <w:rFonts w:asciiTheme="majorHAnsi" w:hAnsiTheme="majorHAnsi" w:cs="Arial"/>
        </w:rPr>
        <w:t xml:space="preserve">) les définit aussi comme « le produit de la démarche scientifique suivie par les chercheurs </w:t>
      </w:r>
      <w:r w:rsidRPr="00523D69">
        <w:rPr>
          <w:rFonts w:asciiTheme="majorHAnsi" w:hAnsiTheme="majorHAnsi" w:cs="Arial"/>
        </w:rPr>
        <w:lastRenderedPageBreak/>
        <w:t>pour tenter d’atteindre leurs objectifs » (2008, p.3). Les résultats découlant d’une recherche sont rarement communicables en l’état car ils se présentent sous une forme brute. Un travail de synthèse et d’adaptation est nécessaire pour les rendre utiles et/ou utilisables.</w:t>
      </w:r>
    </w:p>
    <w:tbl>
      <w:tblPr>
        <w:tblStyle w:val="Grilledutableau"/>
        <w:tblW w:w="10774" w:type="dxa"/>
        <w:tblInd w:w="-34" w:type="dxa"/>
        <w:tblLook w:val="04A0" w:firstRow="1" w:lastRow="0" w:firstColumn="1" w:lastColumn="0" w:noHBand="0" w:noVBand="1"/>
      </w:tblPr>
      <w:tblGrid>
        <w:gridCol w:w="10774"/>
      </w:tblGrid>
      <w:tr w:rsidR="009D2453" w:rsidRPr="00523D69" w:rsidTr="00523D69">
        <w:tc>
          <w:tcPr>
            <w:tcW w:w="10774" w:type="dxa"/>
          </w:tcPr>
          <w:p w:rsidR="00172823" w:rsidRPr="00523D69" w:rsidRDefault="009D2453" w:rsidP="00523D69">
            <w:pPr>
              <w:widowControl w:val="0"/>
              <w:autoSpaceDE w:val="0"/>
              <w:autoSpaceDN w:val="0"/>
              <w:adjustRightInd w:val="0"/>
              <w:spacing w:line="276" w:lineRule="auto"/>
              <w:jc w:val="both"/>
              <w:rPr>
                <w:rFonts w:asciiTheme="majorHAnsi" w:hAnsiTheme="majorHAnsi" w:cs="Arial"/>
                <w:color w:val="009999"/>
                <w:sz w:val="28"/>
                <w:szCs w:val="24"/>
              </w:rPr>
            </w:pPr>
            <w:r w:rsidRPr="00523D69">
              <w:rPr>
                <w:rFonts w:asciiTheme="majorHAnsi" w:hAnsiTheme="majorHAnsi" w:cs="Arial"/>
                <w:b/>
                <w:color w:val="009999"/>
                <w:sz w:val="28"/>
                <w:szCs w:val="24"/>
              </w:rPr>
              <w:t>Exemple</w:t>
            </w:r>
            <w:r w:rsidRPr="00523D69">
              <w:rPr>
                <w:rFonts w:asciiTheme="majorHAnsi" w:hAnsiTheme="majorHAnsi" w:cs="Arial"/>
                <w:color w:val="009999"/>
                <w:sz w:val="28"/>
                <w:szCs w:val="24"/>
              </w:rPr>
              <w:t xml:space="preserve"> : </w:t>
            </w:r>
          </w:p>
          <w:p w:rsidR="009D2453" w:rsidRPr="00523D69" w:rsidRDefault="009D2453" w:rsidP="00523D69">
            <w:pPr>
              <w:widowControl w:val="0"/>
              <w:autoSpaceDE w:val="0"/>
              <w:autoSpaceDN w:val="0"/>
              <w:adjustRightInd w:val="0"/>
              <w:spacing w:before="40" w:after="40" w:line="276" w:lineRule="auto"/>
              <w:jc w:val="both"/>
              <w:rPr>
                <w:rFonts w:asciiTheme="majorHAnsi" w:hAnsiTheme="majorHAnsi" w:cs="Arial"/>
                <w:sz w:val="22"/>
                <w:szCs w:val="24"/>
              </w:rPr>
            </w:pPr>
            <w:r w:rsidRPr="00523D69">
              <w:rPr>
                <w:rFonts w:asciiTheme="majorHAnsi" w:hAnsiTheme="majorHAnsi" w:cs="Arial"/>
                <w:sz w:val="22"/>
                <w:szCs w:val="24"/>
              </w:rPr>
              <w:t xml:space="preserve">Dans une recherche conduite entre 2011 et 2014 sur le contenu des projets personnalisés rédigés pour les personnes ayant un polyhandicap (Petitpierre &amp; Gyger, 2013), nous avons notamment observé que le nombre d’objectifs présents est statistiquement plus faible dans les projets rédigés à l’intention des adultes en comparaison de ceux rédigés à l’intention des adolescents. </w:t>
            </w:r>
          </w:p>
          <w:p w:rsidR="00172823" w:rsidRPr="00523D69" w:rsidRDefault="009D2453" w:rsidP="00523D69">
            <w:pPr>
              <w:widowControl w:val="0"/>
              <w:autoSpaceDE w:val="0"/>
              <w:autoSpaceDN w:val="0"/>
              <w:adjustRightInd w:val="0"/>
              <w:spacing w:before="40" w:after="40" w:line="276" w:lineRule="auto"/>
              <w:jc w:val="both"/>
              <w:rPr>
                <w:rFonts w:asciiTheme="majorHAnsi" w:hAnsiTheme="majorHAnsi" w:cs="Arial"/>
                <w:sz w:val="24"/>
                <w:szCs w:val="24"/>
              </w:rPr>
            </w:pPr>
            <w:r w:rsidRPr="00523D69">
              <w:rPr>
                <w:rFonts w:asciiTheme="majorHAnsi" w:hAnsiTheme="majorHAnsi" w:cs="Arial"/>
                <w:sz w:val="22"/>
                <w:szCs w:val="24"/>
              </w:rPr>
              <w:t>Qu’espérer de ce résultat ? A vrai dire rien ou du moins aucune retombée spontanée. En effet, la valeur d’usage d’un résultat comme celui-ci exige de mener encore un travail de mise en perspective (interprétation, mise en sens), de communication, voir</w:t>
            </w:r>
            <w:r w:rsidR="00C1246C" w:rsidRPr="00523D69">
              <w:rPr>
                <w:rFonts w:asciiTheme="majorHAnsi" w:hAnsiTheme="majorHAnsi" w:cs="Arial"/>
                <w:sz w:val="22"/>
                <w:szCs w:val="24"/>
              </w:rPr>
              <w:t>e aussi d’aménagements concrets.</w:t>
            </w:r>
          </w:p>
        </w:tc>
      </w:tr>
    </w:tbl>
    <w:p w:rsidR="00681347" w:rsidRPr="00523D69" w:rsidRDefault="00681347" w:rsidP="00523D69">
      <w:pPr>
        <w:widowControl w:val="0"/>
        <w:autoSpaceDE w:val="0"/>
        <w:autoSpaceDN w:val="0"/>
        <w:adjustRightInd w:val="0"/>
        <w:spacing w:before="120" w:after="120" w:line="360" w:lineRule="auto"/>
        <w:jc w:val="both"/>
        <w:rPr>
          <w:rFonts w:asciiTheme="majorHAnsi" w:hAnsiTheme="majorHAnsi" w:cs="Arial"/>
        </w:rPr>
      </w:pP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r w:rsidRPr="00523D69">
        <w:rPr>
          <w:rFonts w:asciiTheme="majorHAnsi" w:hAnsiTheme="majorHAnsi" w:cs="Arial"/>
        </w:rPr>
        <w:t xml:space="preserve">On qualifie </w:t>
      </w:r>
      <w:r w:rsidRPr="00523D69">
        <w:rPr>
          <w:rFonts w:asciiTheme="majorHAnsi" w:hAnsiTheme="majorHAnsi" w:cs="Arial"/>
          <w:b/>
        </w:rPr>
        <w:t>d’extrants</w:t>
      </w:r>
      <w:r w:rsidRPr="00523D69">
        <w:rPr>
          <w:rFonts w:asciiTheme="majorHAnsi" w:hAnsiTheme="majorHAnsi" w:cs="Arial"/>
        </w:rPr>
        <w:t xml:space="preserve">, de </w:t>
      </w:r>
      <w:r w:rsidRPr="00523D69">
        <w:rPr>
          <w:rFonts w:asciiTheme="majorHAnsi" w:hAnsiTheme="majorHAnsi" w:cs="Arial"/>
          <w:b/>
        </w:rPr>
        <w:t>productions</w:t>
      </w:r>
      <w:r w:rsidRPr="00523D69">
        <w:rPr>
          <w:rFonts w:asciiTheme="majorHAnsi" w:hAnsiTheme="majorHAnsi" w:cs="Arial"/>
        </w:rPr>
        <w:t xml:space="preserve"> ou de </w:t>
      </w:r>
      <w:r w:rsidRPr="00523D69">
        <w:rPr>
          <w:rFonts w:asciiTheme="majorHAnsi" w:hAnsiTheme="majorHAnsi" w:cs="Arial"/>
          <w:b/>
        </w:rPr>
        <w:t>livrables</w:t>
      </w:r>
      <w:r w:rsidRPr="00523D69">
        <w:rPr>
          <w:rFonts w:asciiTheme="majorHAnsi" w:hAnsiTheme="majorHAnsi" w:cs="Arial"/>
        </w:rPr>
        <w:t>, les produits issus des activités de transfert et de partage des connaissances (RRSPQ, 2008). Les extrants sont de diverses natures (Godin, 2013) et se présentent sous des formes ayant une valeur d’usage plus ou moins forte pour le terrain. Ils servent à produire les retombées (RRSPQ, 2008).</w:t>
      </w:r>
    </w:p>
    <w:tbl>
      <w:tblPr>
        <w:tblStyle w:val="Grilledutableau"/>
        <w:tblW w:w="10774" w:type="dxa"/>
        <w:tblInd w:w="-34" w:type="dxa"/>
        <w:tblLook w:val="04A0" w:firstRow="1" w:lastRow="0" w:firstColumn="1" w:lastColumn="0" w:noHBand="0" w:noVBand="1"/>
      </w:tblPr>
      <w:tblGrid>
        <w:gridCol w:w="10774"/>
      </w:tblGrid>
      <w:tr w:rsidR="009D2453" w:rsidRPr="00523D69" w:rsidTr="00523D69">
        <w:tc>
          <w:tcPr>
            <w:tcW w:w="10774" w:type="dxa"/>
          </w:tcPr>
          <w:p w:rsidR="009D2453" w:rsidRPr="00523D69" w:rsidRDefault="009D2453" w:rsidP="00523D69">
            <w:pPr>
              <w:widowControl w:val="0"/>
              <w:autoSpaceDE w:val="0"/>
              <w:autoSpaceDN w:val="0"/>
              <w:adjustRightInd w:val="0"/>
              <w:spacing w:before="40" w:after="40" w:line="276" w:lineRule="auto"/>
              <w:ind w:left="34"/>
              <w:jc w:val="both"/>
              <w:rPr>
                <w:rFonts w:asciiTheme="majorHAnsi" w:hAnsiTheme="majorHAnsi" w:cs="Arial"/>
                <w:sz w:val="24"/>
                <w:szCs w:val="24"/>
              </w:rPr>
            </w:pPr>
            <w:r w:rsidRPr="00523D69">
              <w:rPr>
                <w:rFonts w:asciiTheme="majorHAnsi" w:hAnsiTheme="majorHAnsi" w:cs="Arial"/>
                <w:b/>
                <w:color w:val="009999"/>
                <w:sz w:val="28"/>
                <w:szCs w:val="24"/>
              </w:rPr>
              <w:t>Exemple</w:t>
            </w:r>
            <w:r w:rsidRPr="00523D69">
              <w:rPr>
                <w:rFonts w:asciiTheme="majorHAnsi" w:hAnsiTheme="majorHAnsi" w:cs="Arial"/>
                <w:color w:val="009999"/>
                <w:sz w:val="28"/>
                <w:szCs w:val="24"/>
              </w:rPr>
              <w:t xml:space="preserve"> (suite) :</w:t>
            </w:r>
            <w:r w:rsidRPr="00523D69">
              <w:rPr>
                <w:rFonts w:asciiTheme="majorHAnsi" w:hAnsiTheme="majorHAnsi" w:cs="Arial"/>
                <w:sz w:val="28"/>
                <w:szCs w:val="24"/>
              </w:rPr>
              <w:t xml:space="preserve"> </w:t>
            </w:r>
            <w:r w:rsidRPr="00523D69">
              <w:rPr>
                <w:rFonts w:asciiTheme="majorHAnsi" w:hAnsiTheme="majorHAnsi" w:cs="Arial"/>
                <w:sz w:val="24"/>
                <w:szCs w:val="24"/>
              </w:rPr>
              <w:t>Les résultats obtenus suite à la recherche mentionnée dans l’exemple</w:t>
            </w:r>
            <w:r w:rsidR="00233B78" w:rsidRPr="00523D69">
              <w:rPr>
                <w:rFonts w:asciiTheme="majorHAnsi" w:hAnsiTheme="majorHAnsi" w:cs="Arial"/>
                <w:sz w:val="24"/>
                <w:szCs w:val="24"/>
              </w:rPr>
              <w:t xml:space="preserve"> précéde</w:t>
            </w:r>
            <w:r w:rsidRPr="00523D69">
              <w:rPr>
                <w:rFonts w:asciiTheme="majorHAnsi" w:hAnsiTheme="majorHAnsi" w:cs="Arial"/>
                <w:sz w:val="24"/>
                <w:szCs w:val="24"/>
              </w:rPr>
              <w:t>nt ont d’abord été débattus et analysés. Plusieurs interprétations ont été proposées pour expliquer l’écart entre le nombre d’objectifs présents dans les projets personnalisés des personnes adultes vs dans ceux des adolescents. Les explications étaient les suivantes :</w:t>
            </w:r>
          </w:p>
          <w:p w:rsidR="009D2453" w:rsidRPr="00523D69" w:rsidRDefault="009D2453" w:rsidP="00523D69">
            <w:pPr>
              <w:pStyle w:val="Paragraphedeliste"/>
              <w:widowControl w:val="0"/>
              <w:autoSpaceDE w:val="0"/>
              <w:autoSpaceDN w:val="0"/>
              <w:adjustRightInd w:val="0"/>
              <w:spacing w:before="40" w:after="40" w:line="276" w:lineRule="auto"/>
              <w:ind w:left="743"/>
              <w:jc w:val="both"/>
              <w:rPr>
                <w:rFonts w:asciiTheme="majorHAnsi" w:hAnsiTheme="majorHAnsi" w:cs="Arial"/>
                <w:sz w:val="24"/>
                <w:szCs w:val="24"/>
              </w:rPr>
            </w:pPr>
            <w:r w:rsidRPr="00523D69">
              <w:rPr>
                <w:rFonts w:asciiTheme="majorHAnsi" w:hAnsiTheme="majorHAnsi" w:cs="Arial"/>
                <w:color w:val="009999"/>
                <w:sz w:val="24"/>
                <w:szCs w:val="24"/>
              </w:rPr>
              <w:t>Explication 1 :</w:t>
            </w:r>
            <w:r w:rsidRPr="00523D69">
              <w:rPr>
                <w:rFonts w:asciiTheme="majorHAnsi" w:hAnsiTheme="majorHAnsi" w:cs="Arial"/>
                <w:sz w:val="24"/>
                <w:szCs w:val="24"/>
              </w:rPr>
              <w:t xml:space="preserve"> Les résultats obtenus ne sont pas le reflet fidèle du contenu des prestations</w:t>
            </w:r>
            <w:r w:rsidR="00233B78" w:rsidRPr="00523D69">
              <w:rPr>
                <w:rFonts w:asciiTheme="majorHAnsi" w:hAnsiTheme="majorHAnsi" w:cs="Arial"/>
                <w:sz w:val="24"/>
                <w:szCs w:val="24"/>
              </w:rPr>
              <w:t xml:space="preserve"> réelles</w:t>
            </w:r>
            <w:r w:rsidRPr="00523D69">
              <w:rPr>
                <w:rFonts w:asciiTheme="majorHAnsi" w:hAnsiTheme="majorHAnsi" w:cs="Arial"/>
                <w:sz w:val="24"/>
                <w:szCs w:val="24"/>
              </w:rPr>
              <w:t xml:space="preserve">. </w:t>
            </w:r>
            <w:r w:rsidRPr="00523D69">
              <w:rPr>
                <w:rFonts w:asciiTheme="majorHAnsi" w:hAnsiTheme="majorHAnsi"/>
                <w:sz w:val="24"/>
                <w:szCs w:val="24"/>
              </w:rPr>
              <w:t>Certaines prest</w:t>
            </w:r>
            <w:r w:rsidR="00233B78" w:rsidRPr="00523D69">
              <w:rPr>
                <w:rFonts w:asciiTheme="majorHAnsi" w:hAnsiTheme="majorHAnsi"/>
                <w:sz w:val="24"/>
                <w:szCs w:val="24"/>
              </w:rPr>
              <w:t>ations proposées dans la réalité</w:t>
            </w:r>
            <w:r w:rsidRPr="00523D69">
              <w:rPr>
                <w:rFonts w:asciiTheme="majorHAnsi" w:hAnsiTheme="majorHAnsi"/>
                <w:sz w:val="24"/>
                <w:szCs w:val="24"/>
              </w:rPr>
              <w:t xml:space="preserve"> ne figurent pas explicitement dans le projet personnalisé. </w:t>
            </w:r>
            <w:r w:rsidRPr="00523D69">
              <w:rPr>
                <w:rFonts w:asciiTheme="majorHAnsi" w:hAnsiTheme="majorHAnsi" w:cs="Arial"/>
                <w:sz w:val="24"/>
                <w:szCs w:val="24"/>
              </w:rPr>
              <w:t xml:space="preserve">La variation du nombre d’objectifs constatée dépend de </w:t>
            </w:r>
            <w:r w:rsidRPr="00523D69">
              <w:rPr>
                <w:rFonts w:asciiTheme="majorHAnsi" w:hAnsiTheme="majorHAnsi"/>
                <w:sz w:val="24"/>
                <w:szCs w:val="24"/>
              </w:rPr>
              <w:t>l’importance variable accordée à l’écrit professionnel selon les contextes (scolaire vs socio-éducatif).</w:t>
            </w:r>
          </w:p>
          <w:p w:rsidR="00681347" w:rsidRPr="00523D69" w:rsidRDefault="009D2453" w:rsidP="00523D69">
            <w:pPr>
              <w:spacing w:before="40" w:after="40" w:line="276" w:lineRule="auto"/>
              <w:ind w:left="743"/>
              <w:jc w:val="both"/>
              <w:rPr>
                <w:rFonts w:asciiTheme="majorHAnsi" w:hAnsiTheme="majorHAnsi"/>
                <w:sz w:val="24"/>
                <w:szCs w:val="24"/>
              </w:rPr>
            </w:pPr>
            <w:r w:rsidRPr="00523D69">
              <w:rPr>
                <w:rFonts w:asciiTheme="majorHAnsi" w:hAnsiTheme="majorHAnsi" w:cs="Arial"/>
                <w:color w:val="009999"/>
                <w:sz w:val="24"/>
                <w:szCs w:val="24"/>
              </w:rPr>
              <w:lastRenderedPageBreak/>
              <w:t>Explication 2 :</w:t>
            </w:r>
            <w:r w:rsidRPr="00523D69">
              <w:rPr>
                <w:rFonts w:asciiTheme="majorHAnsi" w:hAnsiTheme="majorHAnsi" w:cs="Arial"/>
                <w:sz w:val="24"/>
                <w:szCs w:val="24"/>
              </w:rPr>
              <w:t xml:space="preserve"> Les résultats obtenus sont le reflet fidèle du contenu des prestations d’accompagnement. Il y a lieu</w:t>
            </w:r>
            <w:r w:rsidR="00233B78" w:rsidRPr="00523D69">
              <w:rPr>
                <w:rFonts w:asciiTheme="majorHAnsi" w:hAnsiTheme="majorHAnsi" w:cs="Arial"/>
                <w:sz w:val="24"/>
                <w:szCs w:val="24"/>
              </w:rPr>
              <w:t xml:space="preserve"> de s’inquiéter et de chercher à</w:t>
            </w:r>
            <w:r w:rsidRPr="00523D69">
              <w:rPr>
                <w:rFonts w:asciiTheme="majorHAnsi" w:hAnsiTheme="majorHAnsi" w:cs="Arial"/>
                <w:sz w:val="24"/>
                <w:szCs w:val="24"/>
              </w:rPr>
              <w:t xml:space="preserve"> comprendre et à agir sur les causes éventuelles du faible nombre d’objectifs dans les projets des personnes adultes. En effet, il est nécessaire de veiller à ce que l</w:t>
            </w:r>
            <w:r w:rsidRPr="00523D69">
              <w:rPr>
                <w:rFonts w:asciiTheme="majorHAnsi" w:hAnsiTheme="majorHAnsi"/>
                <w:sz w:val="24"/>
                <w:szCs w:val="24"/>
              </w:rPr>
              <w:t>a couverture de l'ensemble des besoins reste assurée pour toutes et tous à tous les âges de la vie.</w:t>
            </w:r>
          </w:p>
          <w:p w:rsidR="00681347" w:rsidRPr="00523D69" w:rsidRDefault="009D2453" w:rsidP="00523D69">
            <w:pPr>
              <w:widowControl w:val="0"/>
              <w:autoSpaceDE w:val="0"/>
              <w:autoSpaceDN w:val="0"/>
              <w:adjustRightInd w:val="0"/>
              <w:spacing w:before="40" w:after="40" w:line="276" w:lineRule="auto"/>
              <w:jc w:val="both"/>
              <w:rPr>
                <w:rFonts w:asciiTheme="majorHAnsi" w:hAnsiTheme="majorHAnsi" w:cs="Arial"/>
                <w:bCs/>
                <w:sz w:val="24"/>
                <w:szCs w:val="24"/>
              </w:rPr>
            </w:pPr>
            <w:r w:rsidRPr="00523D69">
              <w:rPr>
                <w:rFonts w:asciiTheme="majorHAnsi" w:eastAsia="Times New Roman" w:hAnsiTheme="majorHAnsi" w:cs="Arial"/>
                <w:iCs/>
                <w:sz w:val="24"/>
                <w:szCs w:val="24"/>
              </w:rPr>
              <w:t xml:space="preserve">Au fil des discussions et des échanges et suite à l’analyse de la littérature, nous en sommes arrivés à la conclusion que la deuxième hypothèse ne pouvait pas être exclue. </w:t>
            </w:r>
            <w:r w:rsidRPr="00523D69">
              <w:rPr>
                <w:rFonts w:asciiTheme="majorHAnsi" w:hAnsiTheme="majorHAnsi" w:cs="Arial"/>
                <w:sz w:val="24"/>
                <w:szCs w:val="24"/>
              </w:rPr>
              <w:t xml:space="preserve">Dans les faits, le passage à l’âge adulte représente souvent encore une cassure pour les personnes concernées et leur entourage. Ce dernier exprime un rétrécissement de perspectives dans les politiques sociales et les ressources à disposition des terrains (Mansell, 2010). </w:t>
            </w:r>
            <w:r w:rsidRPr="00523D69">
              <w:rPr>
                <w:rFonts w:asciiTheme="majorHAnsi" w:eastAsia="Times New Roman" w:hAnsiTheme="majorHAnsi" w:cs="Arial"/>
                <w:iCs/>
                <w:sz w:val="24"/>
                <w:szCs w:val="24"/>
              </w:rPr>
              <w:t>Suite à cette réflexion, un travail a été entrepris</w:t>
            </w:r>
            <w:r w:rsidRPr="00523D69">
              <w:rPr>
                <w:rFonts w:asciiTheme="majorHAnsi" w:hAnsiTheme="majorHAnsi" w:cs="Arial"/>
                <w:sz w:val="24"/>
                <w:szCs w:val="24"/>
              </w:rPr>
              <w:t xml:space="preserve"> avec</w:t>
            </w:r>
            <w:r w:rsidRPr="00523D69">
              <w:rPr>
                <w:rFonts w:asciiTheme="majorHAnsi" w:hAnsiTheme="majorHAnsi" w:cs="Arial"/>
                <w:bCs/>
                <w:sz w:val="24"/>
                <w:szCs w:val="24"/>
              </w:rPr>
              <w:t xml:space="preserve"> les équipes des établissements partenaires. Il a donné lieu, entre autres, à la création d’un inventaire d’objectifs socio-éducatifs destinés à faciliter la rédaction des projets personnalisés à l’intention des personnes adultes avec un polyhandicap.</w:t>
            </w:r>
          </w:p>
          <w:p w:rsidR="009D2453" w:rsidRPr="00523D69" w:rsidRDefault="009D2453" w:rsidP="00523D69">
            <w:pPr>
              <w:widowControl w:val="0"/>
              <w:autoSpaceDE w:val="0"/>
              <w:autoSpaceDN w:val="0"/>
              <w:adjustRightInd w:val="0"/>
              <w:spacing w:before="40" w:after="40" w:line="276" w:lineRule="auto"/>
              <w:ind w:left="34"/>
              <w:jc w:val="both"/>
              <w:rPr>
                <w:rFonts w:asciiTheme="majorHAnsi" w:hAnsiTheme="majorHAnsi" w:cs="Arial"/>
                <w:sz w:val="24"/>
                <w:szCs w:val="24"/>
              </w:rPr>
            </w:pPr>
            <w:r w:rsidRPr="00523D69">
              <w:rPr>
                <w:rFonts w:asciiTheme="majorHAnsi" w:hAnsiTheme="majorHAnsi" w:cs="Arial"/>
                <w:bCs/>
                <w:sz w:val="24"/>
                <w:szCs w:val="24"/>
              </w:rPr>
              <w:t>La recherche a également donné</w:t>
            </w:r>
            <w:r w:rsidRPr="00523D69">
              <w:rPr>
                <w:rFonts w:asciiTheme="majorHAnsi" w:hAnsiTheme="majorHAnsi" w:cs="Arial"/>
                <w:sz w:val="24"/>
                <w:szCs w:val="24"/>
              </w:rPr>
              <w:t xml:space="preserve"> lieu à d’autres formes d’extrants :</w:t>
            </w:r>
          </w:p>
          <w:p w:rsidR="009D2453" w:rsidRPr="00523D69" w:rsidRDefault="009D2453" w:rsidP="00523D69">
            <w:pPr>
              <w:pStyle w:val="Paragraphedeliste"/>
              <w:widowControl w:val="0"/>
              <w:numPr>
                <w:ilvl w:val="2"/>
                <w:numId w:val="1"/>
              </w:numPr>
              <w:autoSpaceDE w:val="0"/>
              <w:autoSpaceDN w:val="0"/>
              <w:adjustRightInd w:val="0"/>
              <w:spacing w:before="40" w:after="40" w:line="276" w:lineRule="auto"/>
              <w:ind w:left="1168"/>
              <w:jc w:val="both"/>
              <w:rPr>
                <w:rFonts w:asciiTheme="majorHAnsi" w:hAnsiTheme="majorHAnsi" w:cs="Arial"/>
                <w:sz w:val="24"/>
                <w:szCs w:val="24"/>
              </w:rPr>
            </w:pPr>
            <w:r w:rsidRPr="00523D69">
              <w:rPr>
                <w:rFonts w:asciiTheme="majorHAnsi" w:hAnsiTheme="majorHAnsi" w:cs="Arial"/>
                <w:i/>
                <w:sz w:val="24"/>
                <w:szCs w:val="24"/>
              </w:rPr>
              <w:t>Extrants/productions technologiques </w:t>
            </w:r>
            <w:r w:rsidRPr="00523D69">
              <w:rPr>
                <w:rFonts w:asciiTheme="majorHAnsi" w:hAnsiTheme="majorHAnsi" w:cs="Arial"/>
                <w:sz w:val="24"/>
                <w:szCs w:val="24"/>
              </w:rPr>
              <w:t>: mise en ligne de deux livres numériques interactifs portant sur des domaines de fonctionnement de la personne polyhandicapée jusqu’alors peu documentés ; publication des résultats dans un revue professionnelle ; présentation orale des résultats sur le terrain destinée à attirer l’attention sur l’importance du projet personnalisé pour guider l’action professionnelle</w:t>
            </w:r>
          </w:p>
          <w:p w:rsidR="009D2453" w:rsidRPr="00523D69" w:rsidRDefault="009D2453" w:rsidP="00523D69">
            <w:pPr>
              <w:pStyle w:val="Paragraphedeliste"/>
              <w:widowControl w:val="0"/>
              <w:numPr>
                <w:ilvl w:val="2"/>
                <w:numId w:val="1"/>
              </w:numPr>
              <w:autoSpaceDE w:val="0"/>
              <w:autoSpaceDN w:val="0"/>
              <w:adjustRightInd w:val="0"/>
              <w:spacing w:before="40" w:after="40" w:line="276" w:lineRule="auto"/>
              <w:ind w:left="1168"/>
              <w:jc w:val="both"/>
              <w:rPr>
                <w:rFonts w:asciiTheme="majorHAnsi" w:hAnsiTheme="majorHAnsi" w:cs="Arial"/>
                <w:sz w:val="24"/>
                <w:szCs w:val="24"/>
              </w:rPr>
            </w:pPr>
            <w:r w:rsidRPr="00523D69">
              <w:rPr>
                <w:rFonts w:asciiTheme="majorHAnsi" w:hAnsiTheme="majorHAnsi" w:cs="Arial"/>
                <w:i/>
                <w:sz w:val="24"/>
                <w:szCs w:val="24"/>
              </w:rPr>
              <w:t>Extrants/produits scientifiques </w:t>
            </w:r>
            <w:r w:rsidRPr="00523D69">
              <w:rPr>
                <w:rFonts w:asciiTheme="majorHAnsi" w:hAnsiTheme="majorHAnsi" w:cs="Arial"/>
                <w:sz w:val="24"/>
                <w:szCs w:val="24"/>
              </w:rPr>
              <w:t xml:space="preserve">: </w:t>
            </w:r>
            <w:r w:rsidRPr="00523D69">
              <w:rPr>
                <w:rFonts w:asciiTheme="majorHAnsi" w:hAnsiTheme="majorHAnsi"/>
                <w:color w:val="221E1F"/>
                <w:sz w:val="24"/>
                <w:szCs w:val="24"/>
              </w:rPr>
              <w:t>trois conférences dans des congrès scientifiques</w:t>
            </w:r>
          </w:p>
          <w:p w:rsidR="00172823" w:rsidRPr="00523D69" w:rsidRDefault="009D2453" w:rsidP="00523D69">
            <w:pPr>
              <w:pStyle w:val="Paragraphedeliste"/>
              <w:widowControl w:val="0"/>
              <w:numPr>
                <w:ilvl w:val="2"/>
                <w:numId w:val="1"/>
              </w:numPr>
              <w:autoSpaceDE w:val="0"/>
              <w:autoSpaceDN w:val="0"/>
              <w:adjustRightInd w:val="0"/>
              <w:spacing w:before="40" w:after="40" w:line="276" w:lineRule="auto"/>
              <w:ind w:left="1168"/>
              <w:jc w:val="both"/>
              <w:rPr>
                <w:rFonts w:asciiTheme="majorHAnsi" w:hAnsiTheme="majorHAnsi" w:cs="Arial"/>
                <w:sz w:val="24"/>
                <w:szCs w:val="24"/>
              </w:rPr>
            </w:pPr>
            <w:r w:rsidRPr="00523D69">
              <w:rPr>
                <w:rFonts w:asciiTheme="majorHAnsi" w:hAnsiTheme="majorHAnsi"/>
                <w:i/>
                <w:color w:val="221E1F"/>
                <w:sz w:val="24"/>
                <w:szCs w:val="24"/>
              </w:rPr>
              <w:t>Sont encore agendés </w:t>
            </w:r>
            <w:r w:rsidRPr="00523D69">
              <w:rPr>
                <w:rFonts w:asciiTheme="majorHAnsi" w:hAnsiTheme="majorHAnsi"/>
                <w:color w:val="221E1F"/>
                <w:sz w:val="24"/>
                <w:szCs w:val="24"/>
              </w:rPr>
              <w:t>: un article dans une revue à comité de lecture ; une journée de formation à l’intention des professionnels</w:t>
            </w:r>
          </w:p>
          <w:p w:rsidR="00172823" w:rsidRPr="00523D69" w:rsidRDefault="00172823" w:rsidP="00523D69">
            <w:pPr>
              <w:widowControl w:val="0"/>
              <w:autoSpaceDE w:val="0"/>
              <w:autoSpaceDN w:val="0"/>
              <w:adjustRightInd w:val="0"/>
              <w:spacing w:before="40" w:after="40" w:line="276" w:lineRule="auto"/>
              <w:jc w:val="right"/>
              <w:rPr>
                <w:rFonts w:asciiTheme="majorHAnsi" w:hAnsiTheme="majorHAnsi" w:cs="Arial"/>
                <w:color w:val="009999"/>
                <w:sz w:val="24"/>
                <w:szCs w:val="24"/>
              </w:rPr>
            </w:pPr>
            <w:r w:rsidRPr="00523D69">
              <w:rPr>
                <w:rFonts w:asciiTheme="majorHAnsi" w:hAnsiTheme="majorHAnsi" w:cs="Arial"/>
                <w:color w:val="009999"/>
                <w:sz w:val="24"/>
                <w:szCs w:val="24"/>
              </w:rPr>
              <w:t>Voir Annexe 1</w:t>
            </w:r>
          </w:p>
        </w:tc>
      </w:tr>
    </w:tbl>
    <w:p w:rsidR="00523D69" w:rsidRDefault="00523D69" w:rsidP="00523D69">
      <w:pPr>
        <w:widowControl w:val="0"/>
        <w:autoSpaceDE w:val="0"/>
        <w:autoSpaceDN w:val="0"/>
        <w:adjustRightInd w:val="0"/>
        <w:spacing w:before="120" w:after="120" w:line="360" w:lineRule="auto"/>
        <w:jc w:val="both"/>
        <w:rPr>
          <w:rFonts w:asciiTheme="majorHAnsi" w:hAnsiTheme="majorHAnsi" w:cs="Arial"/>
        </w:rPr>
      </w:pPr>
    </w:p>
    <w:p w:rsidR="00523D69" w:rsidRDefault="00523D69">
      <w:pPr>
        <w:rPr>
          <w:rFonts w:asciiTheme="majorHAnsi" w:hAnsiTheme="majorHAnsi" w:cs="Arial"/>
        </w:rPr>
      </w:pPr>
      <w:r>
        <w:rPr>
          <w:rFonts w:asciiTheme="majorHAnsi" w:hAnsiTheme="majorHAnsi" w:cs="Arial"/>
        </w:rPr>
        <w:br w:type="page"/>
      </w:r>
    </w:p>
    <w:p w:rsidR="009D2453" w:rsidRPr="00523D69" w:rsidRDefault="009D2453" w:rsidP="00523D69">
      <w:pPr>
        <w:widowControl w:val="0"/>
        <w:autoSpaceDE w:val="0"/>
        <w:autoSpaceDN w:val="0"/>
        <w:adjustRightInd w:val="0"/>
        <w:spacing w:before="120" w:after="120" w:line="360" w:lineRule="auto"/>
        <w:ind w:firstLine="708"/>
        <w:jc w:val="both"/>
        <w:rPr>
          <w:rFonts w:asciiTheme="majorHAnsi" w:hAnsiTheme="majorHAnsi" w:cs="Arial"/>
        </w:rPr>
      </w:pPr>
      <w:r w:rsidRPr="00523D69">
        <w:rPr>
          <w:rFonts w:asciiTheme="majorHAnsi" w:hAnsiTheme="majorHAnsi" w:cs="Arial"/>
        </w:rPr>
        <w:lastRenderedPageBreak/>
        <w:t xml:space="preserve">La notion de </w:t>
      </w:r>
      <w:r w:rsidRPr="00523D69">
        <w:rPr>
          <w:rFonts w:asciiTheme="majorHAnsi" w:hAnsiTheme="majorHAnsi" w:cs="Arial"/>
          <w:b/>
        </w:rPr>
        <w:t>retombées</w:t>
      </w:r>
      <w:r w:rsidRPr="00523D69">
        <w:rPr>
          <w:rFonts w:asciiTheme="majorHAnsi" w:hAnsiTheme="majorHAnsi" w:cs="Arial"/>
        </w:rPr>
        <w:t xml:space="preserve"> (que l’on peut aussi qualifier </w:t>
      </w:r>
      <w:r w:rsidRPr="00523D69">
        <w:rPr>
          <w:rFonts w:asciiTheme="majorHAnsi" w:hAnsiTheme="majorHAnsi" w:cs="Arial"/>
          <w:b/>
        </w:rPr>
        <w:t>d’impacts</w:t>
      </w:r>
      <w:r w:rsidRPr="00523D69">
        <w:rPr>
          <w:rFonts w:asciiTheme="majorHAnsi" w:hAnsiTheme="majorHAnsi" w:cs="Arial"/>
        </w:rPr>
        <w:t xml:space="preserve">) renvoie aux « effets prévus ou imprévus, pouvant résulter directement ou indirectement de la production de nouvelles connaissances par des chercheurs et leur diffusion » (Berthelette et al., 2008, p. 3). Les retombées sur le terrain peuvent être appréhendées en tentant de répondre à la question suivante: </w:t>
      </w:r>
      <w:r w:rsidRPr="00523D69">
        <w:rPr>
          <w:rFonts w:asciiTheme="majorHAnsi" w:eastAsia="Times New Roman" w:hAnsiTheme="majorHAnsi"/>
          <w:lang w:val="fr-CH"/>
        </w:rPr>
        <w:t>L’étude a-t-elle produit un aménagement des pratiques ou des adaptations du dispositif ? Cet aménagement a-t-il été repris ailleurs ou suscité un intérêt et des consultations de la part d’autres acteurs du secteur et/ou de la région</w:t>
      </w:r>
      <w:r w:rsidRPr="00523D69">
        <w:rPr>
          <w:rFonts w:asciiTheme="majorHAnsi" w:hAnsiTheme="majorHAnsi" w:cs="Arial"/>
        </w:rPr>
        <w:t> ?</w:t>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r w:rsidRPr="00523D69">
        <w:rPr>
          <w:rFonts w:asciiTheme="majorHAnsi" w:hAnsiTheme="majorHAnsi" w:cs="Arial"/>
        </w:rPr>
        <w:t>Godin rappelle que les retombées restent souvent le « point aveugle » de la recherche, dans la mesure où elles sont souvent difficilement mesurables directement ou que leur mesure se limite à des critères quantitatifs.</w:t>
      </w:r>
    </w:p>
    <w:tbl>
      <w:tblPr>
        <w:tblStyle w:val="Grilledutableau"/>
        <w:tblW w:w="10774" w:type="dxa"/>
        <w:tblInd w:w="-34" w:type="dxa"/>
        <w:tblLook w:val="04A0" w:firstRow="1" w:lastRow="0" w:firstColumn="1" w:lastColumn="0" w:noHBand="0" w:noVBand="1"/>
      </w:tblPr>
      <w:tblGrid>
        <w:gridCol w:w="10774"/>
      </w:tblGrid>
      <w:tr w:rsidR="009D2453" w:rsidRPr="00523D69" w:rsidTr="00523D69">
        <w:tc>
          <w:tcPr>
            <w:tcW w:w="10774" w:type="dxa"/>
          </w:tcPr>
          <w:p w:rsidR="009D2453" w:rsidRPr="00523D69" w:rsidRDefault="009D2453" w:rsidP="00523D69">
            <w:pPr>
              <w:widowControl w:val="0"/>
              <w:autoSpaceDE w:val="0"/>
              <w:autoSpaceDN w:val="0"/>
              <w:adjustRightInd w:val="0"/>
              <w:spacing w:before="40" w:after="40" w:line="276" w:lineRule="auto"/>
              <w:ind w:left="34"/>
              <w:jc w:val="both"/>
              <w:rPr>
                <w:rFonts w:asciiTheme="majorHAnsi" w:hAnsiTheme="majorHAnsi" w:cs="Arial"/>
                <w:sz w:val="24"/>
                <w:szCs w:val="24"/>
              </w:rPr>
            </w:pPr>
            <w:r w:rsidRPr="00523D69">
              <w:rPr>
                <w:rFonts w:asciiTheme="majorHAnsi" w:hAnsiTheme="majorHAnsi" w:cs="Arial"/>
                <w:b/>
                <w:color w:val="009999"/>
                <w:sz w:val="28"/>
                <w:szCs w:val="24"/>
              </w:rPr>
              <w:t>Exemple :</w:t>
            </w:r>
            <w:r w:rsidRPr="00523D69">
              <w:rPr>
                <w:rFonts w:asciiTheme="majorHAnsi" w:hAnsiTheme="majorHAnsi" w:cs="Arial"/>
                <w:sz w:val="28"/>
                <w:szCs w:val="24"/>
              </w:rPr>
              <w:t xml:space="preserve"> </w:t>
            </w:r>
            <w:r w:rsidRPr="00523D69">
              <w:rPr>
                <w:rFonts w:asciiTheme="majorHAnsi" w:hAnsiTheme="majorHAnsi" w:cs="Arial"/>
                <w:sz w:val="24"/>
                <w:szCs w:val="24"/>
              </w:rPr>
              <w:t>Dans la recherche précédemment mentionnée, les retombées des produits et des connaissances générées ne sont pas encore connues. Répliquer la recherche initiale représenterait un bon moyen de vérifier l’effet de l’introduction du matériel créé sur les pratiques.</w:t>
            </w:r>
            <w:r w:rsidR="00172823" w:rsidRPr="00523D69">
              <w:rPr>
                <w:rFonts w:asciiTheme="majorHAnsi" w:hAnsiTheme="majorHAnsi" w:cs="Arial"/>
                <w:sz w:val="24"/>
                <w:szCs w:val="24"/>
              </w:rPr>
              <w:t xml:space="preserve"> </w:t>
            </w:r>
            <w:r w:rsidR="00172823" w:rsidRPr="00523D69">
              <w:rPr>
                <w:rFonts w:asciiTheme="majorHAnsi" w:hAnsiTheme="majorHAnsi" w:cs="Arial"/>
                <w:color w:val="009999"/>
                <w:sz w:val="24"/>
                <w:szCs w:val="24"/>
              </w:rPr>
              <w:t>Voir Annexe 2</w:t>
            </w:r>
          </w:p>
        </w:tc>
      </w:tr>
    </w:tbl>
    <w:p w:rsidR="00523D69" w:rsidRDefault="00523D69" w:rsidP="00523D69">
      <w:pPr>
        <w:pStyle w:val="Titre2"/>
        <w:spacing w:before="120" w:after="120" w:line="360" w:lineRule="auto"/>
        <w:jc w:val="both"/>
        <w:rPr>
          <w:rFonts w:asciiTheme="majorHAnsi" w:hAnsiTheme="majorHAnsi"/>
          <w:b/>
          <w:sz w:val="24"/>
          <w:szCs w:val="24"/>
        </w:rPr>
      </w:pPr>
      <w:bookmarkStart w:id="1" w:name="_Toc271181649"/>
      <w:bookmarkStart w:id="2" w:name="_Toc271182971"/>
      <w:bookmarkStart w:id="3" w:name="_Toc271183726"/>
      <w:bookmarkStart w:id="4" w:name="_Toc271183903"/>
    </w:p>
    <w:p w:rsidR="00523D69" w:rsidRDefault="00523D69">
      <w:pPr>
        <w:rPr>
          <w:rFonts w:asciiTheme="majorHAnsi" w:eastAsia="MS Gothic" w:hAnsiTheme="majorHAnsi"/>
          <w:b/>
          <w:bCs/>
          <w:iCs/>
        </w:rPr>
      </w:pPr>
      <w:r>
        <w:rPr>
          <w:rFonts w:asciiTheme="majorHAnsi" w:hAnsiTheme="majorHAnsi"/>
          <w:b/>
        </w:rPr>
        <w:br w:type="page"/>
      </w:r>
    </w:p>
    <w:p w:rsidR="009D2453" w:rsidRPr="00523D69" w:rsidRDefault="00523D69" w:rsidP="00523D69">
      <w:pPr>
        <w:jc w:val="center"/>
        <w:rPr>
          <w:rFonts w:asciiTheme="majorHAnsi" w:hAnsiTheme="majorHAnsi"/>
          <w:color w:val="009999"/>
          <w:sz w:val="36"/>
        </w:rPr>
      </w:pPr>
      <w:bookmarkStart w:id="5" w:name="_Toc271181650"/>
      <w:bookmarkStart w:id="6" w:name="_Toc271182972"/>
      <w:bookmarkStart w:id="7" w:name="_Toc271183727"/>
      <w:bookmarkStart w:id="8" w:name="_Toc271183904"/>
      <w:bookmarkEnd w:id="1"/>
      <w:bookmarkEnd w:id="2"/>
      <w:bookmarkEnd w:id="3"/>
      <w:bookmarkEnd w:id="4"/>
      <w:r w:rsidRPr="00523D69">
        <w:rPr>
          <w:rFonts w:asciiTheme="majorHAnsi" w:hAnsiTheme="majorHAnsi"/>
          <w:b/>
          <w:color w:val="009999"/>
          <w:sz w:val="36"/>
        </w:rPr>
        <w:lastRenderedPageBreak/>
        <w:t>ANNEXE 1 -</w:t>
      </w:r>
      <w:r w:rsidR="009D2453" w:rsidRPr="00523D69">
        <w:rPr>
          <w:rFonts w:asciiTheme="majorHAnsi" w:hAnsiTheme="majorHAnsi"/>
          <w:color w:val="009999"/>
          <w:sz w:val="36"/>
        </w:rPr>
        <w:t xml:space="preserve"> </w:t>
      </w:r>
      <w:r w:rsidR="009D2453" w:rsidRPr="00523D69">
        <w:rPr>
          <w:rFonts w:asciiTheme="majorHAnsi" w:hAnsiTheme="majorHAnsi"/>
          <w:color w:val="009999"/>
          <w:sz w:val="36"/>
          <w:lang w:eastAsia="fr-CH"/>
        </w:rPr>
        <w:t>Inventaire d’extrants</w:t>
      </w:r>
      <w:bookmarkEnd w:id="5"/>
      <w:bookmarkEnd w:id="6"/>
      <w:bookmarkEnd w:id="7"/>
      <w:bookmarkEnd w:id="8"/>
      <w:r w:rsidR="00502E65" w:rsidRPr="00523D69">
        <w:rPr>
          <w:rFonts w:asciiTheme="majorHAnsi" w:hAnsiTheme="majorHAnsi"/>
          <w:color w:val="009999"/>
          <w:sz w:val="36"/>
          <w:lang w:eastAsia="fr-CH"/>
        </w:rPr>
        <w:t xml:space="preserve"> ou livrables</w:t>
      </w:r>
    </w:p>
    <w:tbl>
      <w:tblPr>
        <w:tblStyle w:val="Grilledutableau"/>
        <w:tblW w:w="10740" w:type="dxa"/>
        <w:tblLook w:val="04A0" w:firstRow="1" w:lastRow="0" w:firstColumn="1" w:lastColumn="0" w:noHBand="0" w:noVBand="1"/>
      </w:tblPr>
      <w:tblGrid>
        <w:gridCol w:w="10740"/>
      </w:tblGrid>
      <w:tr w:rsidR="009D2453" w:rsidRPr="00523D69" w:rsidTr="00523D69">
        <w:tc>
          <w:tcPr>
            <w:tcW w:w="10740" w:type="dxa"/>
          </w:tcPr>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b/>
                <w:color w:val="009999"/>
                <w:sz w:val="28"/>
                <w:szCs w:val="24"/>
              </w:rPr>
            </w:pPr>
            <w:r w:rsidRPr="00523D69">
              <w:rPr>
                <w:rFonts w:asciiTheme="majorHAnsi" w:hAnsiTheme="majorHAnsi"/>
                <w:b/>
                <w:color w:val="009999"/>
                <w:sz w:val="28"/>
                <w:szCs w:val="24"/>
              </w:rPr>
              <w:t xml:space="preserve">Inventaire d’extrants </w:t>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sz w:val="24"/>
                <w:szCs w:val="24"/>
              </w:rPr>
              <w:t xml:space="preserve">(adapté d’après </w:t>
            </w:r>
            <w:r w:rsidRPr="00523D69">
              <w:rPr>
                <w:rFonts w:asciiTheme="majorHAnsi" w:hAnsiTheme="majorHAnsi" w:cs="Arial"/>
                <w:sz w:val="24"/>
                <w:szCs w:val="24"/>
              </w:rPr>
              <w:t>Berthelette et al., 2008 ; Institut de recherche en santé du Canada, 2014</w:t>
            </w:r>
            <w:r w:rsidRPr="00523D69">
              <w:rPr>
                <w:rStyle w:val="Appelnotedebasdep"/>
                <w:rFonts w:asciiTheme="majorHAnsi" w:hAnsiTheme="majorHAnsi" w:cs="Arial"/>
                <w:sz w:val="24"/>
                <w:szCs w:val="24"/>
              </w:rPr>
              <w:footnoteReference w:id="1"/>
            </w:r>
            <w:r w:rsidRPr="00523D69">
              <w:rPr>
                <w:rFonts w:asciiTheme="majorHAnsi" w:hAnsiTheme="majorHAnsi" w:cs="Arial"/>
                <w:sz w:val="24"/>
                <w:szCs w:val="24"/>
              </w:rPr>
              <w:t>).</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 xml:space="preserve">des publications dans des revues scientifiques ;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publications dans des revues professionnelles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publications grand public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présentations à des congrès scientifiques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cours académiques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activités de formation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des séances d'information ;</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la création d'outils/supports/matériaux à destination des terrains;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guides, canevas (de discussion), brochures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 xml:space="preserve">procédures </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programmes éducatifs validés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programmes de politique publique validés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questionnaires standardisés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t>trames d’entretiens</w:t>
            </w:r>
          </w:p>
          <w:p w:rsidR="009D2453" w:rsidRPr="00523D69" w:rsidRDefault="009D2453" w:rsidP="00523D69">
            <w:pPr>
              <w:widowControl w:val="0"/>
              <w:numPr>
                <w:ilvl w:val="1"/>
                <w:numId w:val="2"/>
              </w:numPr>
              <w:autoSpaceDE w:val="0"/>
              <w:autoSpaceDN w:val="0"/>
              <w:adjustRightInd w:val="0"/>
              <w:spacing w:before="120" w:after="120" w:line="360" w:lineRule="auto"/>
              <w:jc w:val="both"/>
              <w:rPr>
                <w:rFonts w:asciiTheme="majorHAnsi" w:hAnsiTheme="majorHAnsi" w:cs="Arial"/>
                <w:sz w:val="24"/>
                <w:szCs w:val="24"/>
              </w:rPr>
            </w:pPr>
            <w:r w:rsidRPr="00523D69">
              <w:rPr>
                <w:rFonts w:asciiTheme="majorHAnsi" w:hAnsiTheme="majorHAnsi" w:cs="Arial"/>
                <w:sz w:val="24"/>
                <w:szCs w:val="24"/>
              </w:rPr>
              <w:lastRenderedPageBreak/>
              <w:t>etc</w:t>
            </w:r>
            <w:r w:rsidR="001161B9">
              <w:rPr>
                <w:rFonts w:asciiTheme="majorHAnsi" w:hAnsiTheme="majorHAnsi" w:cs="Arial"/>
                <w:sz w:val="24"/>
                <w:szCs w:val="24"/>
              </w:rPr>
              <w:t>.</w:t>
            </w:r>
          </w:p>
          <w:p w:rsidR="00502E65" w:rsidRPr="00523D69" w:rsidRDefault="00502E65"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 xml:space="preserve">des recommandations </w:t>
            </w:r>
            <w:r w:rsidRPr="005E49CB">
              <w:rPr>
                <w:rFonts w:asciiTheme="majorHAnsi" w:hAnsiTheme="majorHAnsi" w:cs="Arial"/>
                <w:sz w:val="24"/>
                <w:szCs w:val="24"/>
              </w:rPr>
              <w:t>pour les décideurs politiques</w:t>
            </w:r>
          </w:p>
          <w:p w:rsidR="009D2453" w:rsidRPr="00523D69" w:rsidRDefault="009D2453"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sidRPr="00523D69">
              <w:rPr>
                <w:rFonts w:asciiTheme="majorHAnsi" w:hAnsiTheme="majorHAnsi" w:cs="Arial"/>
                <w:sz w:val="24"/>
                <w:szCs w:val="24"/>
              </w:rPr>
              <w:t xml:space="preserve">la répercussion des résultats de recherche par les médias. </w:t>
            </w:r>
          </w:p>
          <w:p w:rsidR="009D2453" w:rsidRPr="001161B9" w:rsidRDefault="001161B9" w:rsidP="00523D69">
            <w:pPr>
              <w:widowControl w:val="0"/>
              <w:numPr>
                <w:ilvl w:val="0"/>
                <w:numId w:val="2"/>
              </w:numPr>
              <w:autoSpaceDE w:val="0"/>
              <w:autoSpaceDN w:val="0"/>
              <w:adjustRightInd w:val="0"/>
              <w:spacing w:before="120" w:after="120" w:line="360" w:lineRule="auto"/>
              <w:ind w:left="788" w:hanging="357"/>
              <w:jc w:val="both"/>
              <w:rPr>
                <w:rFonts w:asciiTheme="majorHAnsi" w:hAnsiTheme="majorHAnsi" w:cs="Arial"/>
                <w:sz w:val="24"/>
                <w:szCs w:val="24"/>
              </w:rPr>
            </w:pPr>
            <w:r>
              <w:rPr>
                <w:rFonts w:asciiTheme="majorHAnsi" w:hAnsiTheme="majorHAnsi" w:cs="Arial"/>
                <w:sz w:val="24"/>
                <w:szCs w:val="24"/>
              </w:rPr>
              <w:t>ect</w:t>
            </w:r>
          </w:p>
        </w:tc>
      </w:tr>
    </w:tbl>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rPr>
      </w:pPr>
    </w:p>
    <w:p w:rsidR="009D2453" w:rsidRPr="00523D69" w:rsidRDefault="009D2453" w:rsidP="00523D69">
      <w:pPr>
        <w:spacing w:before="120" w:after="120" w:line="360" w:lineRule="auto"/>
        <w:jc w:val="both"/>
        <w:rPr>
          <w:rFonts w:asciiTheme="majorHAnsi" w:hAnsiTheme="majorHAnsi"/>
        </w:rPr>
      </w:pPr>
    </w:p>
    <w:p w:rsidR="009D2453" w:rsidRPr="00523D69" w:rsidRDefault="009D2453" w:rsidP="00523D69">
      <w:pPr>
        <w:spacing w:before="120" w:after="120" w:line="360" w:lineRule="auto"/>
        <w:jc w:val="both"/>
        <w:rPr>
          <w:rFonts w:asciiTheme="majorHAnsi" w:eastAsia="MS Gothic" w:hAnsiTheme="majorHAnsi"/>
          <w:bCs/>
        </w:rPr>
      </w:pPr>
      <w:r w:rsidRPr="00523D69">
        <w:rPr>
          <w:rFonts w:asciiTheme="majorHAnsi" w:hAnsiTheme="majorHAnsi"/>
        </w:rPr>
        <w:br w:type="page"/>
      </w:r>
    </w:p>
    <w:p w:rsidR="009D2453" w:rsidRPr="001161B9" w:rsidRDefault="001161B9" w:rsidP="001161B9">
      <w:pPr>
        <w:jc w:val="center"/>
        <w:rPr>
          <w:rFonts w:asciiTheme="majorHAnsi" w:hAnsiTheme="majorHAnsi"/>
          <w:b/>
          <w:color w:val="009999"/>
          <w:sz w:val="36"/>
        </w:rPr>
      </w:pPr>
      <w:r>
        <w:rPr>
          <w:rFonts w:asciiTheme="majorHAnsi" w:hAnsiTheme="majorHAnsi"/>
          <w:b/>
          <w:color w:val="009999"/>
          <w:sz w:val="36"/>
        </w:rPr>
        <w:lastRenderedPageBreak/>
        <w:t>Annexe 2 -</w:t>
      </w:r>
      <w:r w:rsidR="009D2453" w:rsidRPr="001161B9">
        <w:rPr>
          <w:rFonts w:asciiTheme="majorHAnsi" w:hAnsiTheme="majorHAnsi"/>
          <w:b/>
          <w:color w:val="009999"/>
          <w:sz w:val="36"/>
        </w:rPr>
        <w:t xml:space="preserve"> </w:t>
      </w:r>
      <w:r w:rsidR="009D2453" w:rsidRPr="001161B9">
        <w:rPr>
          <w:rFonts w:asciiTheme="majorHAnsi" w:hAnsiTheme="majorHAnsi"/>
          <w:color w:val="009999"/>
          <w:sz w:val="36"/>
        </w:rPr>
        <w:t>Inventaire de retombées pour le terrain</w:t>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rPr>
      </w:pPr>
      <w:r w:rsidRPr="00523D69">
        <w:rPr>
          <w:rFonts w:asciiTheme="majorHAnsi" w:hAnsiTheme="majorHAnsi"/>
          <w:noProof/>
          <w:lang w:eastAsia="fr-FR"/>
        </w:rPr>
        <w:lastRenderedPageBreak/>
        <w:drawing>
          <wp:inline distT="0" distB="0" distL="0" distR="0" wp14:anchorId="632BEC81" wp14:editId="271CFE1C">
            <wp:extent cx="5838825" cy="5772219"/>
            <wp:effectExtent l="0" t="0" r="0" b="0"/>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5538" cy="5778855"/>
                    </a:xfrm>
                    <a:prstGeom prst="rect">
                      <a:avLst/>
                    </a:prstGeom>
                    <a:noFill/>
                    <a:ln>
                      <a:noFill/>
                    </a:ln>
                  </pic:spPr>
                </pic:pic>
              </a:graphicData>
            </a:graphic>
          </wp:inline>
        </w:drawing>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r w:rsidRPr="00523D69">
        <w:rPr>
          <w:rFonts w:asciiTheme="majorHAnsi" w:hAnsiTheme="majorHAnsi" w:cs="Arial"/>
        </w:rPr>
        <w:t xml:space="preserve">Source : Berthelette et al., 2008, pp. </w:t>
      </w:r>
      <w:r w:rsidRPr="00523D69">
        <w:rPr>
          <w:rFonts w:asciiTheme="majorHAnsi" w:hAnsiTheme="majorHAnsi"/>
        </w:rPr>
        <w:t>17-19</w:t>
      </w: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p>
    <w:p w:rsidR="009D2453" w:rsidRPr="00523D69" w:rsidRDefault="009D2453" w:rsidP="00523D69">
      <w:pPr>
        <w:widowControl w:val="0"/>
        <w:autoSpaceDE w:val="0"/>
        <w:autoSpaceDN w:val="0"/>
        <w:adjustRightInd w:val="0"/>
        <w:spacing w:before="120" w:after="120" w:line="360" w:lineRule="auto"/>
        <w:jc w:val="both"/>
        <w:rPr>
          <w:rFonts w:asciiTheme="majorHAnsi" w:hAnsiTheme="majorHAnsi" w:cs="Arial"/>
        </w:rPr>
      </w:pPr>
    </w:p>
    <w:p w:rsidR="00B161CB" w:rsidRPr="00523D69" w:rsidRDefault="00B161CB" w:rsidP="00523D69">
      <w:pPr>
        <w:spacing w:before="120" w:after="120" w:line="360" w:lineRule="auto"/>
        <w:jc w:val="both"/>
        <w:rPr>
          <w:rFonts w:asciiTheme="majorHAnsi" w:hAnsiTheme="majorHAnsi"/>
        </w:rPr>
      </w:pPr>
    </w:p>
    <w:p w:rsidR="00172823" w:rsidRPr="00523D69" w:rsidRDefault="00172823" w:rsidP="00523D69">
      <w:pPr>
        <w:spacing w:before="120" w:after="120" w:line="360" w:lineRule="auto"/>
        <w:jc w:val="both"/>
        <w:rPr>
          <w:rFonts w:asciiTheme="majorHAnsi" w:hAnsiTheme="majorHAnsi"/>
        </w:rPr>
      </w:pPr>
    </w:p>
    <w:p w:rsidR="00172823" w:rsidRPr="00523D69" w:rsidRDefault="00172823" w:rsidP="00523D69">
      <w:pPr>
        <w:spacing w:before="120" w:after="120" w:line="360" w:lineRule="auto"/>
        <w:jc w:val="both"/>
        <w:rPr>
          <w:rFonts w:asciiTheme="majorHAnsi" w:hAnsiTheme="majorHAnsi"/>
        </w:rPr>
      </w:pPr>
    </w:p>
    <w:p w:rsidR="00172823" w:rsidRPr="00523D69" w:rsidRDefault="00172823" w:rsidP="00523D69">
      <w:pPr>
        <w:spacing w:before="120" w:after="120" w:line="360" w:lineRule="auto"/>
        <w:jc w:val="both"/>
        <w:rPr>
          <w:rFonts w:asciiTheme="majorHAnsi" w:hAnsiTheme="majorHAnsi"/>
        </w:rPr>
      </w:pPr>
    </w:p>
    <w:p w:rsidR="00172823" w:rsidRPr="001161B9" w:rsidRDefault="00502E65" w:rsidP="001161B9">
      <w:pPr>
        <w:widowControl w:val="0"/>
        <w:autoSpaceDE w:val="0"/>
        <w:autoSpaceDN w:val="0"/>
        <w:adjustRightInd w:val="0"/>
        <w:spacing w:before="120" w:after="120" w:line="360" w:lineRule="auto"/>
        <w:jc w:val="center"/>
        <w:rPr>
          <w:rFonts w:asciiTheme="majorHAnsi" w:hAnsiTheme="majorHAnsi"/>
          <w:b/>
          <w:color w:val="009999"/>
          <w:sz w:val="36"/>
        </w:rPr>
      </w:pPr>
      <w:r w:rsidRPr="001161B9">
        <w:rPr>
          <w:rFonts w:asciiTheme="majorHAnsi" w:hAnsiTheme="majorHAnsi"/>
          <w:b/>
          <w:color w:val="009999"/>
          <w:sz w:val="36"/>
        </w:rPr>
        <w:t>Annexe 3 </w:t>
      </w:r>
      <w:r w:rsidR="001161B9">
        <w:rPr>
          <w:rFonts w:asciiTheme="majorHAnsi" w:hAnsiTheme="majorHAnsi"/>
          <w:b/>
          <w:color w:val="009999"/>
          <w:sz w:val="36"/>
        </w:rPr>
        <w:t xml:space="preserve">- </w:t>
      </w:r>
      <w:r w:rsidR="001161B9">
        <w:rPr>
          <w:rFonts w:asciiTheme="majorHAnsi" w:hAnsiTheme="majorHAnsi"/>
          <w:color w:val="009999"/>
          <w:sz w:val="36"/>
        </w:rPr>
        <w:t xml:space="preserve">Références </w:t>
      </w:r>
      <w:r w:rsidRPr="001161B9">
        <w:rPr>
          <w:rFonts w:asciiTheme="majorHAnsi" w:hAnsiTheme="majorHAnsi"/>
          <w:color w:val="009999"/>
          <w:sz w:val="36"/>
        </w:rPr>
        <w:t>bibliographiques</w:t>
      </w:r>
    </w:p>
    <w:p w:rsidR="00172823" w:rsidRPr="00523D69" w:rsidRDefault="00172823" w:rsidP="00523D69">
      <w:pPr>
        <w:widowControl w:val="0"/>
        <w:autoSpaceDE w:val="0"/>
        <w:autoSpaceDN w:val="0"/>
        <w:adjustRightInd w:val="0"/>
        <w:spacing w:before="120" w:after="120" w:line="360" w:lineRule="auto"/>
        <w:jc w:val="both"/>
        <w:rPr>
          <w:rStyle w:val="Lienhypertexte"/>
          <w:rFonts w:asciiTheme="majorHAnsi" w:eastAsia="Times New Roman" w:hAnsiTheme="majorHAnsi" w:cs="Arial"/>
        </w:rPr>
      </w:pPr>
      <w:r w:rsidRPr="00523D69">
        <w:rPr>
          <w:rFonts w:asciiTheme="majorHAnsi" w:hAnsiTheme="majorHAnsi" w:cs="Arial"/>
        </w:rPr>
        <w:t xml:space="preserve">Berthelette, D., Bilodeau, H., Chagnon, F., Desnoyers, L., Lafond, J., Lévesque, G., … Saint-Charles, J. (2008). Rapport du groupe de travail sur les retombées de la recherche sur la santé. Institut Santé et Société, Université du Québec à Montréal. Montréal. Récupéré de </w:t>
      </w:r>
      <w:hyperlink r:id="rId13" w:history="1">
        <w:r w:rsidRPr="00523D69">
          <w:rPr>
            <w:rStyle w:val="Lienhypertexte"/>
            <w:rFonts w:asciiTheme="majorHAnsi" w:hAnsiTheme="majorHAnsi" w:cs="Arial"/>
          </w:rPr>
          <w:t>https://iss.uqam.ca/upload/files/retombeesiss.pdf</w:t>
        </w:r>
      </w:hyperlink>
      <w:r w:rsidRPr="00523D69">
        <w:rPr>
          <w:rFonts w:asciiTheme="majorHAnsi" w:hAnsiTheme="majorHAnsi" w:cs="Arial"/>
        </w:rPr>
        <w:t xml:space="preserve"> </w:t>
      </w:r>
      <w:r w:rsidRPr="00523D69">
        <w:rPr>
          <w:rStyle w:val="Lienhypertexte"/>
          <w:rFonts w:asciiTheme="majorHAnsi" w:eastAsia="Times New Roman" w:hAnsiTheme="majorHAnsi" w:cs="Arial"/>
        </w:rPr>
        <w:t>(en juin 2014).</w:t>
      </w:r>
    </w:p>
    <w:p w:rsidR="00172823" w:rsidRPr="00523D69" w:rsidRDefault="00172823" w:rsidP="00523D69">
      <w:pPr>
        <w:widowControl w:val="0"/>
        <w:autoSpaceDE w:val="0"/>
        <w:autoSpaceDN w:val="0"/>
        <w:adjustRightInd w:val="0"/>
        <w:spacing w:before="120" w:after="120" w:line="360" w:lineRule="auto"/>
        <w:jc w:val="both"/>
        <w:rPr>
          <w:rFonts w:asciiTheme="majorHAnsi" w:hAnsiTheme="majorHAnsi"/>
        </w:rPr>
      </w:pPr>
      <w:r w:rsidRPr="00523D69">
        <w:rPr>
          <w:rFonts w:asciiTheme="majorHAnsi" w:hAnsiTheme="majorHAnsi"/>
        </w:rPr>
        <w:t xml:space="preserve">Godin, B. (2013). Mesurer la science : une histoire à raconter. In O. Glassey (Ed.). </w:t>
      </w:r>
      <w:r w:rsidRPr="00523D69">
        <w:rPr>
          <w:rFonts w:asciiTheme="majorHAnsi" w:hAnsiTheme="majorHAnsi"/>
          <w:i/>
        </w:rPr>
        <w:t>La valeur d’usage de la science</w:t>
      </w:r>
      <w:r w:rsidRPr="00523D69">
        <w:rPr>
          <w:rFonts w:asciiTheme="majorHAnsi" w:hAnsiTheme="majorHAnsi"/>
        </w:rPr>
        <w:t xml:space="preserve"> (pp. 19-36). Paris : Editions des archives contemporaines.</w:t>
      </w:r>
    </w:p>
    <w:p w:rsidR="00172823" w:rsidRPr="00523D69" w:rsidRDefault="00172823" w:rsidP="00523D69">
      <w:pPr>
        <w:pStyle w:val="Commentaire"/>
        <w:spacing w:before="120" w:after="120" w:line="360" w:lineRule="auto"/>
        <w:jc w:val="both"/>
        <w:rPr>
          <w:rFonts w:asciiTheme="majorHAnsi" w:hAnsiTheme="majorHAnsi" w:cs="Arial"/>
        </w:rPr>
      </w:pPr>
      <w:r w:rsidRPr="00523D69">
        <w:rPr>
          <w:rFonts w:asciiTheme="majorHAnsi" w:hAnsiTheme="majorHAnsi" w:cs="Arial"/>
        </w:rPr>
        <w:t xml:space="preserve">Réseau de recherche en santé des populations du Québec </w:t>
      </w:r>
      <w:r w:rsidRPr="00523D69">
        <w:rPr>
          <w:rFonts w:asciiTheme="majorHAnsi" w:hAnsiTheme="majorHAnsi" w:cs="Arial"/>
        </w:rPr>
        <w:sym w:font="Symbol" w:char="F05B"/>
      </w:r>
      <w:r w:rsidRPr="00523D69">
        <w:rPr>
          <w:rFonts w:asciiTheme="majorHAnsi" w:hAnsiTheme="majorHAnsi" w:cs="Arial"/>
        </w:rPr>
        <w:t>RSPQ</w:t>
      </w:r>
      <w:r w:rsidRPr="00523D69">
        <w:rPr>
          <w:rFonts w:asciiTheme="majorHAnsi" w:hAnsiTheme="majorHAnsi" w:cs="Arial"/>
        </w:rPr>
        <w:sym w:font="Symbol" w:char="F05D"/>
      </w:r>
      <w:r w:rsidRPr="00523D69">
        <w:rPr>
          <w:rFonts w:asciiTheme="majorHAnsi" w:hAnsiTheme="majorHAnsi" w:cs="Arial"/>
        </w:rPr>
        <w:t>. (2008). Repenser l’appréciation</w:t>
      </w:r>
      <w:r w:rsidRPr="00523D69">
        <w:rPr>
          <w:rFonts w:ascii="MS Gothic" w:eastAsia="MS Gothic" w:hAnsi="MS Gothic" w:cs="MS Gothic" w:hint="eastAsia"/>
        </w:rPr>
        <w:t> </w:t>
      </w:r>
      <w:r w:rsidRPr="00523D69">
        <w:rPr>
          <w:rFonts w:asciiTheme="majorHAnsi" w:hAnsiTheme="majorHAnsi" w:cs="Arial"/>
        </w:rPr>
        <w:t xml:space="preserve"> des retombées de la recherche. Carnet synthèse, 6. Récupéré de </w:t>
      </w:r>
      <w:hyperlink r:id="rId14" w:history="1">
        <w:r w:rsidRPr="00523D69">
          <w:rPr>
            <w:rStyle w:val="Lienhypertexte"/>
            <w:rFonts w:asciiTheme="majorHAnsi" w:hAnsiTheme="majorHAnsi" w:cs="Arial"/>
          </w:rPr>
          <w:t>http://www.santepop.qc.ca/fichier.php/376/CarnetSynthese6_FR_vf.pdf</w:t>
        </w:r>
      </w:hyperlink>
      <w:r w:rsidRPr="00523D69">
        <w:rPr>
          <w:rFonts w:asciiTheme="majorHAnsi" w:hAnsiTheme="majorHAnsi" w:cs="Arial"/>
        </w:rPr>
        <w:t xml:space="preserve"> (</w:t>
      </w:r>
      <w:r w:rsidRPr="00523D69">
        <w:rPr>
          <w:rFonts w:asciiTheme="majorHAnsi" w:eastAsia="Times New Roman" w:hAnsiTheme="majorHAnsi" w:cs="Arial"/>
        </w:rPr>
        <w:t>en décembre 2013)</w:t>
      </w:r>
    </w:p>
    <w:p w:rsidR="00172823" w:rsidRPr="00523D69" w:rsidRDefault="00172823" w:rsidP="00523D69">
      <w:pPr>
        <w:spacing w:before="120" w:after="120" w:line="360" w:lineRule="auto"/>
        <w:jc w:val="both"/>
        <w:rPr>
          <w:rFonts w:asciiTheme="majorHAnsi" w:hAnsiTheme="majorHAnsi"/>
        </w:rPr>
      </w:pPr>
      <w:r w:rsidRPr="00523D69">
        <w:rPr>
          <w:rFonts w:asciiTheme="majorHAnsi" w:hAnsiTheme="majorHAnsi"/>
          <w:color w:val="000000"/>
          <w:lang w:eastAsia="fr-FR"/>
        </w:rPr>
        <w:t xml:space="preserve">Petitpierre, G. &amp; Gyger, J. (2013). </w:t>
      </w:r>
      <w:r w:rsidRPr="00523D69">
        <w:rPr>
          <w:rFonts w:asciiTheme="majorHAnsi" w:hAnsiTheme="majorHAnsi" w:cs="Arial"/>
        </w:rPr>
        <w:t>Quelles priorités dans l'accompagnement des personnes polyhandicapées adultes? Analyse du contenu des projets personnalisés</w:t>
      </w:r>
      <w:r w:rsidRPr="00523D69">
        <w:rPr>
          <w:rFonts w:asciiTheme="majorHAnsi" w:hAnsiTheme="majorHAnsi" w:cs="Arial"/>
          <w:lang w:val="fr-CH" w:eastAsia="fr-FR"/>
        </w:rPr>
        <w:t xml:space="preserve">. </w:t>
      </w:r>
      <w:r w:rsidRPr="00523D69">
        <w:rPr>
          <w:rFonts w:asciiTheme="majorHAnsi" w:hAnsiTheme="majorHAnsi"/>
          <w:i/>
          <w:lang w:val="fr-CH" w:eastAsia="fr-FR"/>
        </w:rPr>
        <w:t xml:space="preserve">Revue suisse de </w:t>
      </w:r>
      <w:r w:rsidRPr="00523D69">
        <w:rPr>
          <w:rFonts w:asciiTheme="majorHAnsi" w:hAnsiTheme="majorHAnsi"/>
          <w:i/>
        </w:rPr>
        <w:t>Pédagogie spécialisée</w:t>
      </w:r>
      <w:r w:rsidRPr="00523D69">
        <w:rPr>
          <w:rFonts w:asciiTheme="majorHAnsi" w:hAnsiTheme="majorHAnsi"/>
        </w:rPr>
        <w:t>, 3, 6-14.</w:t>
      </w:r>
    </w:p>
    <w:p w:rsidR="00172823" w:rsidRPr="00523D69" w:rsidRDefault="00172823" w:rsidP="00523D69">
      <w:pPr>
        <w:spacing w:before="120" w:after="120" w:line="360" w:lineRule="auto"/>
        <w:jc w:val="both"/>
        <w:rPr>
          <w:rFonts w:asciiTheme="majorHAnsi" w:hAnsiTheme="majorHAnsi"/>
          <w:color w:val="000000"/>
          <w:lang w:eastAsia="fr-FR"/>
        </w:rPr>
      </w:pPr>
      <w:r w:rsidRPr="00523D69">
        <w:rPr>
          <w:rFonts w:asciiTheme="majorHAnsi" w:hAnsiTheme="majorHAnsi"/>
          <w:color w:val="000000"/>
          <w:lang w:eastAsia="fr-FR"/>
        </w:rPr>
        <w:t xml:space="preserve">Petitpierre, G. &amp; Gyger, J. (2014). </w:t>
      </w:r>
      <w:r w:rsidRPr="00523D69">
        <w:rPr>
          <w:rFonts w:asciiTheme="majorHAnsi" w:hAnsiTheme="majorHAnsi"/>
          <w:i/>
          <w:color w:val="000000"/>
          <w:lang w:eastAsia="fr-FR"/>
        </w:rPr>
        <w:t>Mallette socio-pédagogique pour l’accompagnement des personnes adultes avec un polyhandicap ou une déficience intellectuelle sévère</w:t>
      </w:r>
      <w:r w:rsidRPr="00523D69">
        <w:rPr>
          <w:rFonts w:asciiTheme="majorHAnsi" w:hAnsiTheme="majorHAnsi"/>
          <w:color w:val="000000"/>
          <w:lang w:eastAsia="fr-FR"/>
        </w:rPr>
        <w:t xml:space="preserve">. Lausanne, Fribourg et Genève : Fondation Eben-Hézer &amp; Université de Fribourg et Genève. </w:t>
      </w:r>
    </w:p>
    <w:p w:rsidR="00172823" w:rsidRPr="00523D69" w:rsidRDefault="00172823" w:rsidP="00523D69">
      <w:pPr>
        <w:spacing w:before="120" w:after="120" w:line="360" w:lineRule="auto"/>
        <w:jc w:val="both"/>
        <w:rPr>
          <w:rFonts w:asciiTheme="majorHAnsi" w:hAnsiTheme="majorHAnsi"/>
        </w:rPr>
      </w:pPr>
      <w:r w:rsidRPr="00523D69">
        <w:rPr>
          <w:rFonts w:asciiTheme="majorHAnsi" w:hAnsiTheme="majorHAnsi"/>
          <w:color w:val="000000"/>
          <w:lang w:eastAsia="fr-FR"/>
        </w:rPr>
        <w:t>Pour se procurer la brochure : commande@eben-hezer.ch</w:t>
      </w:r>
    </w:p>
    <w:p w:rsidR="00172823" w:rsidRPr="00523D69" w:rsidRDefault="00172823" w:rsidP="00523D69">
      <w:pPr>
        <w:widowControl w:val="0"/>
        <w:autoSpaceDE w:val="0"/>
        <w:autoSpaceDN w:val="0"/>
        <w:adjustRightInd w:val="0"/>
        <w:spacing w:before="120" w:after="120" w:line="360" w:lineRule="auto"/>
        <w:jc w:val="both"/>
        <w:rPr>
          <w:rFonts w:asciiTheme="majorHAnsi" w:hAnsiTheme="majorHAnsi" w:cs="Arial"/>
        </w:rPr>
      </w:pPr>
    </w:p>
    <w:p w:rsidR="00172823" w:rsidRPr="00523D69" w:rsidRDefault="00172823" w:rsidP="00523D69">
      <w:pPr>
        <w:spacing w:before="120" w:after="120" w:line="360" w:lineRule="auto"/>
        <w:jc w:val="both"/>
        <w:rPr>
          <w:rFonts w:asciiTheme="majorHAnsi" w:hAnsiTheme="majorHAnsi"/>
        </w:rPr>
      </w:pPr>
    </w:p>
    <w:sectPr w:rsidR="00172823" w:rsidRPr="00523D69" w:rsidSect="00523D69">
      <w:footerReference w:type="default" r:id="rId15"/>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F2" w:rsidRDefault="007E56F2" w:rsidP="009D2453">
      <w:pPr>
        <w:spacing w:after="0"/>
      </w:pPr>
      <w:r>
        <w:separator/>
      </w:r>
    </w:p>
  </w:endnote>
  <w:endnote w:type="continuationSeparator" w:id="0">
    <w:p w:rsidR="007E56F2" w:rsidRDefault="007E56F2" w:rsidP="009D24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Bold Condensed">
    <w:altName w:val="Bernard MT Condense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D7" w:rsidRPr="00523D69" w:rsidRDefault="004C4A4E" w:rsidP="00523D69">
    <w:pPr>
      <w:pStyle w:val="Pieddepage"/>
      <w:jc w:val="center"/>
      <w:rPr>
        <w:rFonts w:ascii="Helvetica Neue Light" w:hAnsi="Helvetica Neue Light"/>
        <w:color w:val="009999"/>
        <w:sz w:val="20"/>
        <w:szCs w:val="20"/>
      </w:rPr>
    </w:pPr>
    <w:r w:rsidRPr="00523D69">
      <w:rPr>
        <w:rFonts w:ascii="Helvetica Neue Light" w:hAnsi="Helvetica Neue Light"/>
        <w:color w:val="009999"/>
        <w:sz w:val="20"/>
        <w:szCs w:val="20"/>
      </w:rPr>
      <w:t>Auteur :</w:t>
    </w:r>
    <w:r w:rsidR="00B718D7" w:rsidRPr="00523D69">
      <w:rPr>
        <w:rFonts w:ascii="Helvetica Neue Light" w:hAnsi="Helvetica Neue Light"/>
        <w:color w:val="009999"/>
        <w:sz w:val="20"/>
        <w:szCs w:val="20"/>
      </w:rPr>
      <w:t xml:space="preserve"> Prof. G. Petitpierre / Département de pédagogie spécialisée / Université</w:t>
    </w:r>
    <w:r w:rsidR="00502E65" w:rsidRPr="00523D69">
      <w:rPr>
        <w:rFonts w:ascii="Helvetica Neue Light" w:hAnsi="Helvetica Neue Light"/>
        <w:color w:val="009999"/>
        <w:sz w:val="20"/>
        <w:szCs w:val="20"/>
      </w:rPr>
      <w:t xml:space="preserve"> de Fribourg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F2" w:rsidRDefault="007E56F2" w:rsidP="009D2453">
      <w:pPr>
        <w:spacing w:after="0"/>
      </w:pPr>
      <w:r>
        <w:separator/>
      </w:r>
    </w:p>
  </w:footnote>
  <w:footnote w:type="continuationSeparator" w:id="0">
    <w:p w:rsidR="007E56F2" w:rsidRDefault="007E56F2" w:rsidP="009D2453">
      <w:pPr>
        <w:spacing w:after="0"/>
      </w:pPr>
      <w:r>
        <w:continuationSeparator/>
      </w:r>
    </w:p>
  </w:footnote>
  <w:footnote w:id="1">
    <w:p w:rsidR="009D2453" w:rsidRPr="005B0270" w:rsidRDefault="009D2453" w:rsidP="009D2453">
      <w:pPr>
        <w:widowControl w:val="0"/>
        <w:autoSpaceDE w:val="0"/>
        <w:autoSpaceDN w:val="0"/>
        <w:adjustRightInd w:val="0"/>
        <w:spacing w:after="240"/>
        <w:rPr>
          <w:rFonts w:ascii="Arial" w:hAnsi="Arial" w:cs="Arial"/>
          <w:sz w:val="18"/>
          <w:szCs w:val="18"/>
        </w:rPr>
      </w:pPr>
      <w:r w:rsidRPr="005B0270">
        <w:rPr>
          <w:rStyle w:val="Appelnotedebasdep"/>
          <w:rFonts w:ascii="Arial" w:hAnsi="Arial" w:cs="Arial"/>
          <w:sz w:val="18"/>
          <w:szCs w:val="18"/>
        </w:rPr>
        <w:footnoteRef/>
      </w:r>
      <w:r w:rsidRPr="005B0270">
        <w:rPr>
          <w:rFonts w:ascii="Arial" w:hAnsi="Arial" w:cs="Arial"/>
          <w:sz w:val="18"/>
          <w:szCs w:val="18"/>
        </w:rPr>
        <w:t xml:space="preserve"> </w:t>
      </w:r>
      <w:hyperlink r:id="rId1" w:anchor="dissemination" w:history="1">
        <w:r w:rsidRPr="005B0270">
          <w:rPr>
            <w:rStyle w:val="Lienhypertexte"/>
            <w:rFonts w:ascii="Arial" w:hAnsi="Arial" w:cs="Arial"/>
            <w:sz w:val="18"/>
            <w:szCs w:val="18"/>
          </w:rPr>
          <w:t>http://www.cihr-irsc.gc.ca/f/39033.html#dissemination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5D94"/>
    <w:multiLevelType w:val="hybridMultilevel"/>
    <w:tmpl w:val="7792B226"/>
    <w:lvl w:ilvl="0" w:tplc="040C0001">
      <w:start w:val="1"/>
      <w:numFmt w:val="bullet"/>
      <w:lvlText w:val=""/>
      <w:lvlJc w:val="left"/>
      <w:pPr>
        <w:ind w:left="789" w:hanging="360"/>
      </w:pPr>
      <w:rPr>
        <w:rFonts w:ascii="Symbol" w:hAnsi="Symbol" w:hint="default"/>
      </w:rPr>
    </w:lvl>
    <w:lvl w:ilvl="1" w:tplc="040C0003">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
    <w:nsid w:val="07FD1FB0"/>
    <w:multiLevelType w:val="hybridMultilevel"/>
    <w:tmpl w:val="EB826618"/>
    <w:lvl w:ilvl="0" w:tplc="7F9879F6">
      <w:start w:val="3"/>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453"/>
    <w:rsid w:val="0002266E"/>
    <w:rsid w:val="00053E34"/>
    <w:rsid w:val="00111EBB"/>
    <w:rsid w:val="001161B9"/>
    <w:rsid w:val="00123354"/>
    <w:rsid w:val="00172823"/>
    <w:rsid w:val="00233B78"/>
    <w:rsid w:val="002B1E91"/>
    <w:rsid w:val="003E26B9"/>
    <w:rsid w:val="00411234"/>
    <w:rsid w:val="0048054D"/>
    <w:rsid w:val="004C4A4E"/>
    <w:rsid w:val="00502E65"/>
    <w:rsid w:val="00523D69"/>
    <w:rsid w:val="005A6D2C"/>
    <w:rsid w:val="005E49CB"/>
    <w:rsid w:val="00636068"/>
    <w:rsid w:val="00681347"/>
    <w:rsid w:val="00721C30"/>
    <w:rsid w:val="007E56F2"/>
    <w:rsid w:val="008579C5"/>
    <w:rsid w:val="00886296"/>
    <w:rsid w:val="009D2453"/>
    <w:rsid w:val="00A505FC"/>
    <w:rsid w:val="00A60151"/>
    <w:rsid w:val="00A768BD"/>
    <w:rsid w:val="00B161CB"/>
    <w:rsid w:val="00B718D7"/>
    <w:rsid w:val="00B90D0B"/>
    <w:rsid w:val="00C1246C"/>
    <w:rsid w:val="00C81FD3"/>
    <w:rsid w:val="00D61C48"/>
    <w:rsid w:val="00DF26B4"/>
    <w:rsid w:val="00F943C8"/>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35665D55-110F-402E-BD7C-E971570C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53"/>
    <w:rPr>
      <w:rFonts w:ascii="Cambria" w:eastAsia="Cambria" w:hAnsi="Cambria" w:cs="Times New Roman"/>
      <w:lang w:eastAsia="en-US"/>
    </w:rPr>
  </w:style>
  <w:style w:type="paragraph" w:styleId="Titre2">
    <w:name w:val="heading 2"/>
    <w:basedOn w:val="Normal"/>
    <w:next w:val="Normal"/>
    <w:link w:val="Titre2Car"/>
    <w:rsid w:val="009D2453"/>
    <w:pPr>
      <w:keepNext/>
      <w:spacing w:before="240" w:after="60"/>
      <w:outlineLvl w:val="1"/>
    </w:pPr>
    <w:rPr>
      <w:rFonts w:ascii="Helvetica Neue Bold Condensed" w:eastAsia="MS Gothic" w:hAnsi="Helvetica Neue Bold Condensed"/>
      <w:bCs/>
      <w:iCs/>
      <w:sz w:val="20"/>
      <w:szCs w:val="28"/>
    </w:rPr>
  </w:style>
  <w:style w:type="paragraph" w:styleId="Titre3">
    <w:name w:val="heading 3"/>
    <w:basedOn w:val="Normal"/>
    <w:next w:val="Normal"/>
    <w:link w:val="Titre3Car"/>
    <w:uiPriority w:val="9"/>
    <w:semiHidden/>
    <w:unhideWhenUsed/>
    <w:qFormat/>
    <w:rsid w:val="009D2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606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068"/>
    <w:rPr>
      <w:rFonts w:ascii="Lucida Grande" w:hAnsi="Lucida Grande" w:cs="Lucida Grande"/>
      <w:sz w:val="18"/>
      <w:szCs w:val="18"/>
    </w:rPr>
  </w:style>
  <w:style w:type="character" w:customStyle="1" w:styleId="Titre2Car">
    <w:name w:val="Titre 2 Car"/>
    <w:basedOn w:val="Policepardfaut"/>
    <w:link w:val="Titre2"/>
    <w:rsid w:val="009D2453"/>
    <w:rPr>
      <w:rFonts w:ascii="Helvetica Neue Bold Condensed" w:eastAsia="MS Gothic" w:hAnsi="Helvetica Neue Bold Condensed" w:cs="Times New Roman"/>
      <w:bCs/>
      <w:iCs/>
      <w:sz w:val="20"/>
      <w:szCs w:val="28"/>
      <w:lang w:eastAsia="en-US"/>
    </w:rPr>
  </w:style>
  <w:style w:type="table" w:styleId="Grilledutableau">
    <w:name w:val="Table Grid"/>
    <w:basedOn w:val="TableauNormal"/>
    <w:uiPriority w:val="59"/>
    <w:rsid w:val="009D2453"/>
    <w:pPr>
      <w:spacing w:after="0"/>
    </w:pPr>
    <w:rPr>
      <w:rFonts w:ascii="Cambria" w:eastAsia="Cambria" w:hAnsi="Cambria" w:cs="Times New Roman"/>
      <w:sz w:val="20"/>
      <w:szCs w:val="20"/>
      <w:lang w:val="fr-CH"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9D2453"/>
    <w:pPr>
      <w:spacing w:after="0"/>
      <w:ind w:left="720"/>
      <w:contextualSpacing/>
    </w:pPr>
    <w:rPr>
      <w:rFonts w:ascii="Times" w:hAnsi="Times"/>
      <w:sz w:val="20"/>
      <w:szCs w:val="20"/>
      <w:lang w:eastAsia="fr-FR"/>
    </w:rPr>
  </w:style>
  <w:style w:type="character" w:customStyle="1" w:styleId="Titre3Car">
    <w:name w:val="Titre 3 Car"/>
    <w:basedOn w:val="Policepardfaut"/>
    <w:link w:val="Titre3"/>
    <w:uiPriority w:val="9"/>
    <w:semiHidden/>
    <w:rsid w:val="009D2453"/>
    <w:rPr>
      <w:rFonts w:asciiTheme="majorHAnsi" w:eastAsiaTheme="majorEastAsia" w:hAnsiTheme="majorHAnsi" w:cstheme="majorBidi"/>
      <w:b/>
      <w:bCs/>
      <w:color w:val="4F81BD" w:themeColor="accent1"/>
      <w:lang w:eastAsia="en-US"/>
    </w:rPr>
  </w:style>
  <w:style w:type="character" w:styleId="Lienhypertexte">
    <w:name w:val="Hyperlink"/>
    <w:uiPriority w:val="99"/>
    <w:rsid w:val="009D2453"/>
    <w:rPr>
      <w:color w:val="0000FF"/>
      <w:u w:val="single"/>
    </w:rPr>
  </w:style>
  <w:style w:type="character" w:styleId="Appelnotedebasdep">
    <w:name w:val="footnote reference"/>
    <w:uiPriority w:val="99"/>
    <w:rsid w:val="009D2453"/>
    <w:rPr>
      <w:vertAlign w:val="superscript"/>
    </w:rPr>
  </w:style>
  <w:style w:type="paragraph" w:styleId="Commentaire">
    <w:name w:val="annotation text"/>
    <w:basedOn w:val="Normal"/>
    <w:link w:val="CommentaireCar"/>
    <w:uiPriority w:val="99"/>
    <w:rsid w:val="003E26B9"/>
  </w:style>
  <w:style w:type="character" w:customStyle="1" w:styleId="CommentaireCar">
    <w:name w:val="Commentaire Car"/>
    <w:basedOn w:val="Policepardfaut"/>
    <w:link w:val="Commentaire"/>
    <w:uiPriority w:val="99"/>
    <w:rsid w:val="003E26B9"/>
    <w:rPr>
      <w:rFonts w:ascii="Cambria" w:eastAsia="Cambria" w:hAnsi="Cambria" w:cs="Times New Roman"/>
      <w:lang w:eastAsia="en-US"/>
    </w:rPr>
  </w:style>
  <w:style w:type="paragraph" w:styleId="En-tte">
    <w:name w:val="header"/>
    <w:basedOn w:val="Normal"/>
    <w:link w:val="En-tteCar"/>
    <w:uiPriority w:val="99"/>
    <w:unhideWhenUsed/>
    <w:rsid w:val="00B718D7"/>
    <w:pPr>
      <w:tabs>
        <w:tab w:val="center" w:pos="4536"/>
        <w:tab w:val="right" w:pos="9072"/>
      </w:tabs>
      <w:spacing w:after="0"/>
    </w:pPr>
  </w:style>
  <w:style w:type="character" w:customStyle="1" w:styleId="En-tteCar">
    <w:name w:val="En-tête Car"/>
    <w:basedOn w:val="Policepardfaut"/>
    <w:link w:val="En-tte"/>
    <w:uiPriority w:val="99"/>
    <w:rsid w:val="00B718D7"/>
    <w:rPr>
      <w:rFonts w:ascii="Cambria" w:eastAsia="Cambria" w:hAnsi="Cambria" w:cs="Times New Roman"/>
      <w:lang w:eastAsia="en-US"/>
    </w:rPr>
  </w:style>
  <w:style w:type="paragraph" w:styleId="Pieddepage">
    <w:name w:val="footer"/>
    <w:basedOn w:val="Normal"/>
    <w:link w:val="PieddepageCar"/>
    <w:uiPriority w:val="99"/>
    <w:unhideWhenUsed/>
    <w:rsid w:val="00B718D7"/>
    <w:pPr>
      <w:tabs>
        <w:tab w:val="center" w:pos="4536"/>
        <w:tab w:val="right" w:pos="9072"/>
      </w:tabs>
      <w:spacing w:after="0"/>
    </w:pPr>
  </w:style>
  <w:style w:type="character" w:customStyle="1" w:styleId="PieddepageCar">
    <w:name w:val="Pied de page Car"/>
    <w:basedOn w:val="Policepardfaut"/>
    <w:link w:val="Pieddepage"/>
    <w:uiPriority w:val="99"/>
    <w:rsid w:val="00B718D7"/>
    <w:rPr>
      <w:rFonts w:ascii="Cambria" w:eastAsia="Cambria" w:hAnsi="Cambria" w:cs="Times New Roman"/>
      <w:lang w:eastAsia="en-US"/>
    </w:rPr>
  </w:style>
  <w:style w:type="paragraph" w:styleId="Sous-titre">
    <w:name w:val="Subtitle"/>
    <w:basedOn w:val="Normal"/>
    <w:next w:val="Normal"/>
    <w:link w:val="Sous-titreCar"/>
    <w:uiPriority w:val="11"/>
    <w:qFormat/>
    <w:rsid w:val="00C124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1246C"/>
    <w:rPr>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iss.uqam.ca/upload/files/retombeesiss.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santepop.qc.ca/fichier.php/376/CarnetSynthese6_FR_vf.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ihr-irsc.gc.ca/f/39033.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1C254-0F26-494A-8335-43AF2422D1F0}" type="doc">
      <dgm:prSet loTypeId="urn:microsoft.com/office/officeart/2005/8/layout/hProcess9" loCatId="" qsTypeId="urn:microsoft.com/office/officeart/2005/8/quickstyle/simple4" qsCatId="simple" csTypeId="urn:microsoft.com/office/officeart/2005/8/colors/accent0_1" csCatId="mainScheme" phldr="1"/>
      <dgm:spPr/>
    </dgm:pt>
    <dgm:pt modelId="{FFFFB926-3FC4-1840-AA4F-7E02EE421472}">
      <dgm:prSet phldrT="[Texte]"/>
      <dgm:spPr/>
      <dgm:t>
        <a:bodyPr/>
        <a:lstStyle/>
        <a:p>
          <a:pPr algn="ctr"/>
          <a:r>
            <a:rPr lang="fr-FR"/>
            <a:t>Résultats</a:t>
          </a:r>
        </a:p>
      </dgm:t>
    </dgm:pt>
    <dgm:pt modelId="{6DA596B3-D592-0648-9E7B-B53CB7F3D10D}" type="parTrans" cxnId="{A3740923-3D44-BE40-8371-8753B38CA515}">
      <dgm:prSet/>
      <dgm:spPr/>
      <dgm:t>
        <a:bodyPr/>
        <a:lstStyle/>
        <a:p>
          <a:pPr algn="ctr"/>
          <a:endParaRPr lang="fr-FR"/>
        </a:p>
      </dgm:t>
    </dgm:pt>
    <dgm:pt modelId="{BA976E2A-4195-754D-AC0B-260D164AC12B}" type="sibTrans" cxnId="{A3740923-3D44-BE40-8371-8753B38CA515}">
      <dgm:prSet/>
      <dgm:spPr/>
      <dgm:t>
        <a:bodyPr/>
        <a:lstStyle/>
        <a:p>
          <a:pPr algn="ctr"/>
          <a:endParaRPr lang="fr-FR"/>
        </a:p>
      </dgm:t>
    </dgm:pt>
    <dgm:pt modelId="{C1D8F4A9-79BB-0642-B650-A71B25B0DCD0}">
      <dgm:prSet phldrT="[Texte]"/>
      <dgm:spPr/>
      <dgm:t>
        <a:bodyPr/>
        <a:lstStyle/>
        <a:p>
          <a:pPr algn="ctr"/>
          <a:r>
            <a:rPr lang="fr-FR"/>
            <a:t>Extrants</a:t>
          </a:r>
        </a:p>
      </dgm:t>
    </dgm:pt>
    <dgm:pt modelId="{3D57B0F0-D634-D14D-BCAA-BDBF6A7559CD}" type="parTrans" cxnId="{65A40C99-1A08-AF4E-93F1-3696F1DFBC75}">
      <dgm:prSet/>
      <dgm:spPr/>
      <dgm:t>
        <a:bodyPr/>
        <a:lstStyle/>
        <a:p>
          <a:pPr algn="ctr"/>
          <a:endParaRPr lang="fr-FR"/>
        </a:p>
      </dgm:t>
    </dgm:pt>
    <dgm:pt modelId="{5B0DCC10-95F3-074D-BC5E-1316678B5D1B}" type="sibTrans" cxnId="{65A40C99-1A08-AF4E-93F1-3696F1DFBC75}">
      <dgm:prSet/>
      <dgm:spPr/>
      <dgm:t>
        <a:bodyPr/>
        <a:lstStyle/>
        <a:p>
          <a:pPr algn="ctr"/>
          <a:endParaRPr lang="fr-FR"/>
        </a:p>
      </dgm:t>
    </dgm:pt>
    <dgm:pt modelId="{7F395B5D-A921-7E41-958A-0C345E4A60DB}">
      <dgm:prSet phldrT="[Texte]"/>
      <dgm:spPr/>
      <dgm:t>
        <a:bodyPr/>
        <a:lstStyle/>
        <a:p>
          <a:pPr algn="ctr"/>
          <a:r>
            <a:rPr lang="fr-FR"/>
            <a:t>Retombées</a:t>
          </a:r>
        </a:p>
      </dgm:t>
    </dgm:pt>
    <dgm:pt modelId="{7FB35834-417B-3B4C-83C7-A306651B59E8}" type="parTrans" cxnId="{D43279A6-9A64-684B-A5E0-6C1A353986D7}">
      <dgm:prSet/>
      <dgm:spPr/>
      <dgm:t>
        <a:bodyPr/>
        <a:lstStyle/>
        <a:p>
          <a:pPr algn="ctr"/>
          <a:endParaRPr lang="fr-FR"/>
        </a:p>
      </dgm:t>
    </dgm:pt>
    <dgm:pt modelId="{79D8440D-AFD1-E847-B334-042C74231DA9}" type="sibTrans" cxnId="{D43279A6-9A64-684B-A5E0-6C1A353986D7}">
      <dgm:prSet/>
      <dgm:spPr/>
      <dgm:t>
        <a:bodyPr/>
        <a:lstStyle/>
        <a:p>
          <a:pPr algn="ctr"/>
          <a:endParaRPr lang="fr-FR"/>
        </a:p>
      </dgm:t>
    </dgm:pt>
    <dgm:pt modelId="{A5467914-27CC-8D49-B4A7-DACE324FDFCC}" type="pres">
      <dgm:prSet presAssocID="{6721C254-0F26-494A-8335-43AF2422D1F0}" presName="CompostProcess" presStyleCnt="0">
        <dgm:presLayoutVars>
          <dgm:dir/>
          <dgm:resizeHandles val="exact"/>
        </dgm:presLayoutVars>
      </dgm:prSet>
      <dgm:spPr/>
    </dgm:pt>
    <dgm:pt modelId="{A3B7846D-766E-964A-859D-81EB0EB177A7}" type="pres">
      <dgm:prSet presAssocID="{6721C254-0F26-494A-8335-43AF2422D1F0}" presName="arrow" presStyleLbl="bgShp" presStyleIdx="0" presStyleCnt="1"/>
      <dgm:spPr/>
    </dgm:pt>
    <dgm:pt modelId="{998CBEAB-CA3D-D84F-819D-91FD7439D394}" type="pres">
      <dgm:prSet presAssocID="{6721C254-0F26-494A-8335-43AF2422D1F0}" presName="linearProcess" presStyleCnt="0"/>
      <dgm:spPr/>
    </dgm:pt>
    <dgm:pt modelId="{3CA3264A-AECE-7049-99E4-79DA3F09A5C2}" type="pres">
      <dgm:prSet presAssocID="{FFFFB926-3FC4-1840-AA4F-7E02EE421472}" presName="textNode" presStyleLbl="node1" presStyleIdx="0" presStyleCnt="3">
        <dgm:presLayoutVars>
          <dgm:bulletEnabled val="1"/>
        </dgm:presLayoutVars>
      </dgm:prSet>
      <dgm:spPr/>
      <dgm:t>
        <a:bodyPr/>
        <a:lstStyle/>
        <a:p>
          <a:endParaRPr lang="fr-FR"/>
        </a:p>
      </dgm:t>
    </dgm:pt>
    <dgm:pt modelId="{F6F63746-235C-F64B-BA0B-E86556AE445E}" type="pres">
      <dgm:prSet presAssocID="{BA976E2A-4195-754D-AC0B-260D164AC12B}" presName="sibTrans" presStyleCnt="0"/>
      <dgm:spPr/>
    </dgm:pt>
    <dgm:pt modelId="{223FBEDF-0400-1342-B23B-BAFE0A3277E0}" type="pres">
      <dgm:prSet presAssocID="{C1D8F4A9-79BB-0642-B650-A71B25B0DCD0}" presName="textNode" presStyleLbl="node1" presStyleIdx="1" presStyleCnt="3">
        <dgm:presLayoutVars>
          <dgm:bulletEnabled val="1"/>
        </dgm:presLayoutVars>
      </dgm:prSet>
      <dgm:spPr/>
      <dgm:t>
        <a:bodyPr/>
        <a:lstStyle/>
        <a:p>
          <a:endParaRPr lang="fr-FR"/>
        </a:p>
      </dgm:t>
    </dgm:pt>
    <dgm:pt modelId="{24DB42D4-5CF9-3241-9105-C8D0985CC8F8}" type="pres">
      <dgm:prSet presAssocID="{5B0DCC10-95F3-074D-BC5E-1316678B5D1B}" presName="sibTrans" presStyleCnt="0"/>
      <dgm:spPr/>
    </dgm:pt>
    <dgm:pt modelId="{4537DF63-D34F-4342-9A15-39F871ECE6E1}" type="pres">
      <dgm:prSet presAssocID="{7F395B5D-A921-7E41-958A-0C345E4A60DB}" presName="textNode" presStyleLbl="node1" presStyleIdx="2" presStyleCnt="3">
        <dgm:presLayoutVars>
          <dgm:bulletEnabled val="1"/>
        </dgm:presLayoutVars>
      </dgm:prSet>
      <dgm:spPr/>
      <dgm:t>
        <a:bodyPr/>
        <a:lstStyle/>
        <a:p>
          <a:endParaRPr lang="fr-FR"/>
        </a:p>
      </dgm:t>
    </dgm:pt>
  </dgm:ptLst>
  <dgm:cxnLst>
    <dgm:cxn modelId="{A3740923-3D44-BE40-8371-8753B38CA515}" srcId="{6721C254-0F26-494A-8335-43AF2422D1F0}" destId="{FFFFB926-3FC4-1840-AA4F-7E02EE421472}" srcOrd="0" destOrd="0" parTransId="{6DA596B3-D592-0648-9E7B-B53CB7F3D10D}" sibTransId="{BA976E2A-4195-754D-AC0B-260D164AC12B}"/>
    <dgm:cxn modelId="{D43279A6-9A64-684B-A5E0-6C1A353986D7}" srcId="{6721C254-0F26-494A-8335-43AF2422D1F0}" destId="{7F395B5D-A921-7E41-958A-0C345E4A60DB}" srcOrd="2" destOrd="0" parTransId="{7FB35834-417B-3B4C-83C7-A306651B59E8}" sibTransId="{79D8440D-AFD1-E847-B334-042C74231DA9}"/>
    <dgm:cxn modelId="{7D832A42-8D80-421A-A2D0-22AE02886B6B}" type="presOf" srcId="{FFFFB926-3FC4-1840-AA4F-7E02EE421472}" destId="{3CA3264A-AECE-7049-99E4-79DA3F09A5C2}" srcOrd="0" destOrd="0" presId="urn:microsoft.com/office/officeart/2005/8/layout/hProcess9"/>
    <dgm:cxn modelId="{65A40C99-1A08-AF4E-93F1-3696F1DFBC75}" srcId="{6721C254-0F26-494A-8335-43AF2422D1F0}" destId="{C1D8F4A9-79BB-0642-B650-A71B25B0DCD0}" srcOrd="1" destOrd="0" parTransId="{3D57B0F0-D634-D14D-BCAA-BDBF6A7559CD}" sibTransId="{5B0DCC10-95F3-074D-BC5E-1316678B5D1B}"/>
    <dgm:cxn modelId="{03544F4C-12C1-427C-A6FD-56C165D5BEC7}" type="presOf" srcId="{7F395B5D-A921-7E41-958A-0C345E4A60DB}" destId="{4537DF63-D34F-4342-9A15-39F871ECE6E1}" srcOrd="0" destOrd="0" presId="urn:microsoft.com/office/officeart/2005/8/layout/hProcess9"/>
    <dgm:cxn modelId="{2811DA71-A60F-43AF-8416-24D9653A2504}" type="presOf" srcId="{C1D8F4A9-79BB-0642-B650-A71B25B0DCD0}" destId="{223FBEDF-0400-1342-B23B-BAFE0A3277E0}" srcOrd="0" destOrd="0" presId="urn:microsoft.com/office/officeart/2005/8/layout/hProcess9"/>
    <dgm:cxn modelId="{A6754B7B-7E9A-4E1F-94B4-A63314A4363F}" type="presOf" srcId="{6721C254-0F26-494A-8335-43AF2422D1F0}" destId="{A5467914-27CC-8D49-B4A7-DACE324FDFCC}" srcOrd="0" destOrd="0" presId="urn:microsoft.com/office/officeart/2005/8/layout/hProcess9"/>
    <dgm:cxn modelId="{84BB8B7E-7D26-48B1-9A34-7064216DC82A}" type="presParOf" srcId="{A5467914-27CC-8D49-B4A7-DACE324FDFCC}" destId="{A3B7846D-766E-964A-859D-81EB0EB177A7}" srcOrd="0" destOrd="0" presId="urn:microsoft.com/office/officeart/2005/8/layout/hProcess9"/>
    <dgm:cxn modelId="{1E5832DF-B820-45D0-B098-43CE8EF417B9}" type="presParOf" srcId="{A5467914-27CC-8D49-B4A7-DACE324FDFCC}" destId="{998CBEAB-CA3D-D84F-819D-91FD7439D394}" srcOrd="1" destOrd="0" presId="urn:microsoft.com/office/officeart/2005/8/layout/hProcess9"/>
    <dgm:cxn modelId="{A8693E31-BD2B-46E3-BC45-093E63D6AB4B}" type="presParOf" srcId="{998CBEAB-CA3D-D84F-819D-91FD7439D394}" destId="{3CA3264A-AECE-7049-99E4-79DA3F09A5C2}" srcOrd="0" destOrd="0" presId="urn:microsoft.com/office/officeart/2005/8/layout/hProcess9"/>
    <dgm:cxn modelId="{4668979A-8DDB-4F3C-BE83-DDC71EEEEC2F}" type="presParOf" srcId="{998CBEAB-CA3D-D84F-819D-91FD7439D394}" destId="{F6F63746-235C-F64B-BA0B-E86556AE445E}" srcOrd="1" destOrd="0" presId="urn:microsoft.com/office/officeart/2005/8/layout/hProcess9"/>
    <dgm:cxn modelId="{A8B553D3-685E-470B-B139-615878693F1F}" type="presParOf" srcId="{998CBEAB-CA3D-D84F-819D-91FD7439D394}" destId="{223FBEDF-0400-1342-B23B-BAFE0A3277E0}" srcOrd="2" destOrd="0" presId="urn:microsoft.com/office/officeart/2005/8/layout/hProcess9"/>
    <dgm:cxn modelId="{11B9518D-9018-4A19-8EAF-70C6DD91F96D}" type="presParOf" srcId="{998CBEAB-CA3D-D84F-819D-91FD7439D394}" destId="{24DB42D4-5CF9-3241-9105-C8D0985CC8F8}" srcOrd="3" destOrd="0" presId="urn:microsoft.com/office/officeart/2005/8/layout/hProcess9"/>
    <dgm:cxn modelId="{9211B58F-5D68-435B-A174-7F8155DE317D}" type="presParOf" srcId="{998CBEAB-CA3D-D84F-819D-91FD7439D394}" destId="{4537DF63-D34F-4342-9A15-39F871ECE6E1}" srcOrd="4" destOrd="0" presId="urn:microsoft.com/office/officeart/2005/8/layout/hProcess9"/>
  </dgm:cxnLst>
  <dgm:bg/>
  <dgm:whole>
    <a:ln>
      <a:solidFill>
        <a:schemeClr val="bg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7846D-766E-964A-859D-81EB0EB177A7}">
      <dsp:nvSpPr>
        <dsp:cNvPr id="0" name=""/>
        <dsp:cNvSpPr/>
      </dsp:nvSpPr>
      <dsp:spPr>
        <a:xfrm>
          <a:off x="242173" y="0"/>
          <a:ext cx="2744628" cy="788034"/>
        </a:xfrm>
        <a:prstGeom prst="rightArrow">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CA3264A-AECE-7049-99E4-79DA3F09A5C2}">
      <dsp:nvSpPr>
        <dsp:cNvPr id="0" name=""/>
        <dsp:cNvSpPr/>
      </dsp:nvSpPr>
      <dsp:spPr>
        <a:xfrm>
          <a:off x="109419" y="236410"/>
          <a:ext cx="968692" cy="315213"/>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a:t>Résultats</a:t>
          </a:r>
        </a:p>
      </dsp:txBody>
      <dsp:txXfrm>
        <a:off x="124806" y="251797"/>
        <a:ext cx="937918" cy="284439"/>
      </dsp:txXfrm>
    </dsp:sp>
    <dsp:sp modelId="{223FBEDF-0400-1342-B23B-BAFE0A3277E0}">
      <dsp:nvSpPr>
        <dsp:cNvPr id="0" name=""/>
        <dsp:cNvSpPr/>
      </dsp:nvSpPr>
      <dsp:spPr>
        <a:xfrm>
          <a:off x="1130141" y="236410"/>
          <a:ext cx="968692" cy="315213"/>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a:t>Extrants</a:t>
          </a:r>
        </a:p>
      </dsp:txBody>
      <dsp:txXfrm>
        <a:off x="1145528" y="251797"/>
        <a:ext cx="937918" cy="284439"/>
      </dsp:txXfrm>
    </dsp:sp>
    <dsp:sp modelId="{4537DF63-D34F-4342-9A15-39F871ECE6E1}">
      <dsp:nvSpPr>
        <dsp:cNvPr id="0" name=""/>
        <dsp:cNvSpPr/>
      </dsp:nvSpPr>
      <dsp:spPr>
        <a:xfrm>
          <a:off x="2150863" y="236410"/>
          <a:ext cx="968692" cy="315213"/>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a:t>Retombées</a:t>
          </a:r>
        </a:p>
      </dsp:txBody>
      <dsp:txXfrm>
        <a:off x="2166250" y="251797"/>
        <a:ext cx="937918" cy="2844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6855</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 Petitpierre</dc:creator>
  <cp:lastModifiedBy>Cécile Vallée</cp:lastModifiedBy>
  <cp:revision>2</cp:revision>
  <cp:lastPrinted>2016-03-03T15:07:00Z</cp:lastPrinted>
  <dcterms:created xsi:type="dcterms:W3CDTF">2016-04-25T13:32:00Z</dcterms:created>
  <dcterms:modified xsi:type="dcterms:W3CDTF">2016-04-25T13:32:00Z</dcterms:modified>
</cp:coreProperties>
</file>