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E4" w:rsidRDefault="00315A1E">
      <w:pPr>
        <w:rPr>
          <w:sz w:val="24"/>
          <w:szCs w:val="24"/>
        </w:rPr>
      </w:pPr>
      <w:r w:rsidRPr="00795522">
        <w:rPr>
          <w:noProof/>
          <w:sz w:val="24"/>
          <w:szCs w:val="24"/>
          <w:lang w:eastAsia="fr-FR"/>
        </w:rPr>
        <mc:AlternateContent>
          <mc:Choice Requires="wps">
            <w:drawing>
              <wp:anchor distT="0" distB="0" distL="114300" distR="114300" simplePos="0" relativeHeight="251663872" behindDoc="0" locked="0" layoutInCell="1" allowOverlap="1" wp14:anchorId="20527B74" wp14:editId="1756CF55">
                <wp:simplePos x="0" y="0"/>
                <wp:positionH relativeFrom="column">
                  <wp:posOffset>-1270</wp:posOffset>
                </wp:positionH>
                <wp:positionV relativeFrom="paragraph">
                  <wp:posOffset>3624207</wp:posOffset>
                </wp:positionV>
                <wp:extent cx="5760720" cy="1544955"/>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4955"/>
                        </a:xfrm>
                        <a:prstGeom prst="rect">
                          <a:avLst/>
                        </a:prstGeom>
                        <a:noFill/>
                        <a:ln w="9525">
                          <a:noFill/>
                          <a:miter lim="800000"/>
                          <a:headEnd/>
                          <a:tailEnd/>
                        </a:ln>
                      </wps:spPr>
                      <wps:txbx>
                        <w:txbxContent>
                          <w:p w:rsidR="00C020B3" w:rsidRDefault="00C020B3" w:rsidP="00795522">
                            <w:pPr>
                              <w:jc w:val="center"/>
                              <w:rPr>
                                <w:b/>
                                <w:color w:val="FFFFFF" w:themeColor="background1"/>
                                <w:sz w:val="56"/>
                              </w:rPr>
                            </w:pPr>
                            <w:r w:rsidRPr="00795522">
                              <w:rPr>
                                <w:b/>
                                <w:color w:val="FFFFFF" w:themeColor="background1"/>
                                <w:sz w:val="56"/>
                              </w:rPr>
                              <w:t>Education – Emploi</w:t>
                            </w:r>
                          </w:p>
                          <w:p w:rsidR="00C020B3" w:rsidRPr="00C67752" w:rsidRDefault="00C020B3" w:rsidP="00315A1E">
                            <w:pPr>
                              <w:jc w:val="center"/>
                              <w:rPr>
                                <w:color w:val="FFFFFF" w:themeColor="background1"/>
                                <w:sz w:val="28"/>
                              </w:rPr>
                            </w:pPr>
                            <w:r>
                              <w:rPr>
                                <w:color w:val="FFFFFF" w:themeColor="background1"/>
                                <w:sz w:val="28"/>
                              </w:rPr>
                              <w:t>Présentation d’études et recherches comparatives européennes sur l’éducation, l’emploi et d’autres thématiques</w:t>
                            </w:r>
                          </w:p>
                          <w:p w:rsidR="00C020B3" w:rsidRDefault="00C020B3" w:rsidP="007311F3">
                            <w:pPr>
                              <w:jc w:val="center"/>
                              <w:rPr>
                                <w:color w:val="FFFFFF" w:themeColor="background1"/>
                                <w:sz w:val="28"/>
                              </w:rPr>
                            </w:pPr>
                          </w:p>
                          <w:p w:rsidR="00C020B3" w:rsidRPr="007311F3" w:rsidRDefault="00C020B3" w:rsidP="007311F3">
                            <w:pPr>
                              <w:jc w:val="center"/>
                              <w:rPr>
                                <w:color w:val="FFFFFF" w:themeColor="background1"/>
                                <w:sz w:val="28"/>
                              </w:rPr>
                            </w:pPr>
                            <w:r>
                              <w:rPr>
                                <w:color w:val="FFFFFF" w:themeColor="background1"/>
                                <w:sz w:val="28"/>
                              </w:rPr>
                              <w:t>Octobre 2015</w:t>
                            </w:r>
                          </w:p>
                          <w:p w:rsidR="00C020B3" w:rsidRPr="00795522" w:rsidRDefault="00C020B3">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527B74" id="_x0000_t202" coordsize="21600,21600" o:spt="202" path="m,l,21600r21600,l21600,xe">
                <v:stroke joinstyle="miter"/>
                <v:path gradientshapeok="t" o:connecttype="rect"/>
              </v:shapetype>
              <v:shape id="Zone de texte 2" o:spid="_x0000_s1026" type="#_x0000_t202" style="position:absolute;margin-left:-.1pt;margin-top:285.35pt;width:453.6pt;height:12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" filled="f" stroked="f">
                <v:textbox>
                  <w:txbxContent>
                    <w:p w:rsidR="00C020B3" w:rsidRDefault="00C020B3" w:rsidP="00795522">
                      <w:pPr>
                        <w:jc w:val="center"/>
                        <w:rPr>
                          <w:b/>
                          <w:color w:val="FFFFFF" w:themeColor="background1"/>
                          <w:sz w:val="56"/>
                        </w:rPr>
                      </w:pPr>
                      <w:r w:rsidRPr="00795522">
                        <w:rPr>
                          <w:b/>
                          <w:color w:val="FFFFFF" w:themeColor="background1"/>
                          <w:sz w:val="56"/>
                        </w:rPr>
                        <w:t>Education – Emploi</w:t>
                      </w:r>
                    </w:p>
                    <w:p w:rsidR="00C020B3" w:rsidRPr="00C67752" w:rsidRDefault="00C020B3" w:rsidP="00315A1E">
                      <w:pPr>
                        <w:jc w:val="center"/>
                        <w:rPr>
                          <w:color w:val="FFFFFF" w:themeColor="background1"/>
                          <w:sz w:val="28"/>
                        </w:rPr>
                      </w:pPr>
                      <w:r>
                        <w:rPr>
                          <w:color w:val="FFFFFF" w:themeColor="background1"/>
                          <w:sz w:val="28"/>
                        </w:rPr>
                        <w:t>Présentation d’études et recherches comparatives européennes sur l’éducation, l’emploi et d’autres thématiques</w:t>
                      </w:r>
                    </w:p>
                    <w:p w:rsidR="00C020B3" w:rsidRDefault="00C020B3" w:rsidP="007311F3">
                      <w:pPr>
                        <w:jc w:val="center"/>
                        <w:rPr>
                          <w:color w:val="FFFFFF" w:themeColor="background1"/>
                          <w:sz w:val="28"/>
                        </w:rPr>
                      </w:pPr>
                    </w:p>
                    <w:p w:rsidR="00C020B3" w:rsidRPr="007311F3" w:rsidRDefault="00C020B3" w:rsidP="007311F3">
                      <w:pPr>
                        <w:jc w:val="center"/>
                        <w:rPr>
                          <w:color w:val="FFFFFF" w:themeColor="background1"/>
                          <w:sz w:val="28"/>
                        </w:rPr>
                      </w:pPr>
                      <w:r>
                        <w:rPr>
                          <w:color w:val="FFFFFF" w:themeColor="background1"/>
                          <w:sz w:val="28"/>
                        </w:rPr>
                        <w:t>Octobre 2015</w:t>
                      </w:r>
                    </w:p>
                    <w:p w:rsidR="00C020B3" w:rsidRPr="00795522" w:rsidRDefault="00C020B3">
                      <w:pPr>
                        <w:rPr>
                          <w:b/>
                          <w:color w:val="FFFFFF" w:themeColor="background1"/>
                        </w:rPr>
                      </w:pPr>
                    </w:p>
                  </w:txbxContent>
                </v:textbox>
              </v:shape>
            </w:pict>
          </mc:Fallback>
        </mc:AlternateContent>
      </w:r>
      <w:r w:rsidR="00B13812">
        <w:rPr>
          <w:noProof/>
          <w:sz w:val="24"/>
          <w:szCs w:val="24"/>
          <w:lang w:eastAsia="fr-FR"/>
        </w:rPr>
        <mc:AlternateContent>
          <mc:Choice Requires="wps">
            <w:drawing>
              <wp:anchor distT="0" distB="0" distL="114300" distR="114300" simplePos="0" relativeHeight="251656704" behindDoc="0" locked="0" layoutInCell="1" allowOverlap="1" wp14:anchorId="36B570C3" wp14:editId="69B3C97F">
                <wp:simplePos x="0" y="0"/>
                <wp:positionH relativeFrom="column">
                  <wp:posOffset>361835</wp:posOffset>
                </wp:positionH>
                <wp:positionV relativeFrom="paragraph">
                  <wp:posOffset>785998</wp:posOffset>
                </wp:positionV>
                <wp:extent cx="8890" cy="1483995"/>
                <wp:effectExtent l="0" t="0" r="29210" b="20955"/>
                <wp:wrapNone/>
                <wp:docPr id="3" name="Connecteur droit 3"/>
                <wp:cNvGraphicFramePr/>
                <a:graphic xmlns:a="http://schemas.openxmlformats.org/drawingml/2006/main">
                  <a:graphicData uri="http://schemas.microsoft.com/office/word/2010/wordprocessingShape">
                    <wps:wsp>
                      <wps:cNvCnPr/>
                      <wps:spPr>
                        <a:xfrm flipH="1">
                          <a:off x="0" y="0"/>
                          <a:ext cx="8890" cy="148399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C99E78" id="Connecteur droit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61.9pt" to="29.2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" strokecolor="white [3212]" strokeweight="1.5pt"/>
            </w:pict>
          </mc:Fallback>
        </mc:AlternateContent>
      </w:r>
      <w:r w:rsidR="00B13812" w:rsidRPr="00530DC1">
        <w:rPr>
          <w:noProof/>
          <w:sz w:val="24"/>
          <w:szCs w:val="24"/>
          <w:lang w:eastAsia="fr-FR"/>
        </w:rPr>
        <mc:AlternateContent>
          <mc:Choice Requires="wps">
            <w:drawing>
              <wp:anchor distT="0" distB="0" distL="114300" distR="114300" simplePos="0" relativeHeight="251654656" behindDoc="0" locked="0" layoutInCell="1" allowOverlap="1" wp14:anchorId="3145F31E" wp14:editId="638C818A">
                <wp:simplePos x="0" y="0"/>
                <wp:positionH relativeFrom="column">
                  <wp:posOffset>370840</wp:posOffset>
                </wp:positionH>
                <wp:positionV relativeFrom="paragraph">
                  <wp:posOffset>679450</wp:posOffset>
                </wp:positionV>
                <wp:extent cx="5951220" cy="1994535"/>
                <wp:effectExtent l="0" t="0" r="11430"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994535"/>
                        </a:xfrm>
                        <a:prstGeom prst="rect">
                          <a:avLst/>
                        </a:prstGeom>
                        <a:solidFill>
                          <a:schemeClr val="accent6">
                            <a:lumMod val="75000"/>
                          </a:schemeClr>
                        </a:solidFill>
                        <a:ln w="9525">
                          <a:solidFill>
                            <a:schemeClr val="accent6">
                              <a:lumMod val="75000"/>
                            </a:schemeClr>
                          </a:solidFill>
                          <a:miter lim="800000"/>
                          <a:headEnd/>
                          <a:tailEnd/>
                        </a:ln>
                      </wps:spPr>
                      <wps:txbx>
                        <w:txbxContent>
                          <w:p w:rsidR="00C020B3" w:rsidRPr="00B13812" w:rsidRDefault="00C020B3">
                            <w:pPr>
                              <w:rPr>
                                <w:b/>
                                <w:color w:val="FFFFFF" w:themeColor="background1"/>
                                <w:sz w:val="68"/>
                                <w:szCs w:val="68"/>
                              </w:rPr>
                            </w:pPr>
                            <w:r w:rsidRPr="00B13812">
                              <w:rPr>
                                <w:b/>
                                <w:color w:val="FFFFFF" w:themeColor="background1"/>
                                <w:sz w:val="68"/>
                                <w:szCs w:val="68"/>
                              </w:rPr>
                              <w:t>Handicap : études et recherches comparatives européennes</w:t>
                            </w:r>
                          </w:p>
                          <w:p w:rsidR="00C020B3" w:rsidRPr="00795522" w:rsidRDefault="00C020B3">
                            <w:pPr>
                              <w:rPr>
                                <w:color w:val="FFFFFF" w:themeColor="background1"/>
                                <w:sz w:val="44"/>
                              </w:rPr>
                            </w:pPr>
                            <w:r w:rsidRPr="00795522">
                              <w:rPr>
                                <w:color w:val="FFFFFF" w:themeColor="background1"/>
                                <w:sz w:val="44"/>
                              </w:rPr>
                              <w:t xml:space="preserve">Revue de littérature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45F31E" id="_x0000_s1027" type="#_x0000_t202" style="position:absolute;margin-left:29.2pt;margin-top:53.5pt;width:468.6pt;height:15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" fillcolor="#e36c0a [2409]" strokecolor="#e36c0a [2409]">
                <v:textbox>
                  <w:txbxContent>
                    <w:p w:rsidR="00C020B3" w:rsidRPr="00B13812" w:rsidRDefault="00C020B3">
                      <w:pPr>
                        <w:rPr>
                          <w:b/>
                          <w:color w:val="FFFFFF" w:themeColor="background1"/>
                          <w:sz w:val="68"/>
                          <w:szCs w:val="68"/>
                        </w:rPr>
                      </w:pPr>
                      <w:r w:rsidRPr="00B13812">
                        <w:rPr>
                          <w:b/>
                          <w:color w:val="FFFFFF" w:themeColor="background1"/>
                          <w:sz w:val="68"/>
                          <w:szCs w:val="68"/>
                        </w:rPr>
                        <w:t>Handicap : études et recherches comparatives européennes</w:t>
                      </w:r>
                    </w:p>
                    <w:p w:rsidR="00C020B3" w:rsidRPr="00795522" w:rsidRDefault="00C020B3">
                      <w:pPr>
                        <w:rPr>
                          <w:color w:val="FFFFFF" w:themeColor="background1"/>
                          <w:sz w:val="44"/>
                        </w:rPr>
                      </w:pPr>
                      <w:r w:rsidRPr="00795522">
                        <w:rPr>
                          <w:color w:val="FFFFFF" w:themeColor="background1"/>
                          <w:sz w:val="44"/>
                        </w:rPr>
                        <w:t xml:space="preserve">Revue de littérature </w:t>
                      </w:r>
                    </w:p>
                  </w:txbxContent>
                </v:textbox>
              </v:shape>
            </w:pict>
          </mc:Fallback>
        </mc:AlternateContent>
      </w:r>
      <w:r w:rsidR="00567744" w:rsidRPr="00FD0DF4">
        <w:rPr>
          <w:noProof/>
          <w:color w:val="E36C0A" w:themeColor="accent6" w:themeShade="BF"/>
          <w:sz w:val="24"/>
          <w:szCs w:val="24"/>
          <w:lang w:eastAsia="fr-FR"/>
        </w:rPr>
        <mc:AlternateContent>
          <mc:Choice Requires="wps">
            <w:drawing>
              <wp:anchor distT="0" distB="0" distL="114300" distR="114300" simplePos="0" relativeHeight="251653632" behindDoc="0" locked="0" layoutInCell="1" allowOverlap="1" wp14:anchorId="3E811BB4" wp14:editId="7A10ADB1">
                <wp:simplePos x="0" y="0"/>
                <wp:positionH relativeFrom="column">
                  <wp:posOffset>-622300</wp:posOffset>
                </wp:positionH>
                <wp:positionV relativeFrom="paragraph">
                  <wp:posOffset>-688340</wp:posOffset>
                </wp:positionV>
                <wp:extent cx="7000240" cy="8288020"/>
                <wp:effectExtent l="0" t="0" r="10160" b="17780"/>
                <wp:wrapNone/>
                <wp:docPr id="1" name="Rectangle 1"/>
                <wp:cNvGraphicFramePr/>
                <a:graphic xmlns:a="http://schemas.openxmlformats.org/drawingml/2006/main">
                  <a:graphicData uri="http://schemas.microsoft.com/office/word/2010/wordprocessingShape">
                    <wps:wsp>
                      <wps:cNvSpPr/>
                      <wps:spPr>
                        <a:xfrm>
                          <a:off x="0" y="0"/>
                          <a:ext cx="7000240" cy="828802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815E53" id="Rectangle 1" o:spid="_x0000_s1026" style="position:absolute;margin-left:-49pt;margin-top:-54.2pt;width:551.2pt;height:65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" fillcolor="#e36c0a [2409]" strokecolor="#e36c0a [2409]" strokeweight="2pt"/>
            </w:pict>
          </mc:Fallback>
        </mc:AlternateContent>
      </w:r>
      <w:r w:rsidR="002301F6">
        <w:rPr>
          <w:noProof/>
          <w:sz w:val="24"/>
          <w:szCs w:val="24"/>
          <w:lang w:eastAsia="fr-FR"/>
        </w:rPr>
        <w:drawing>
          <wp:anchor distT="0" distB="0" distL="114300" distR="114300" simplePos="0" relativeHeight="251660800" behindDoc="0" locked="0" layoutInCell="1" allowOverlap="1" wp14:anchorId="614B5CE7" wp14:editId="2337E40F">
            <wp:simplePos x="0" y="0"/>
            <wp:positionH relativeFrom="column">
              <wp:posOffset>-554355</wp:posOffset>
            </wp:positionH>
            <wp:positionV relativeFrom="paragraph">
              <wp:posOffset>8018145</wp:posOffset>
            </wp:positionV>
            <wp:extent cx="1026160" cy="1190625"/>
            <wp:effectExtent l="0" t="0" r="2540" b="9525"/>
            <wp:wrapNone/>
            <wp:docPr id="10" name="Image 10" descr="C:\Users\GERGAN~1.BOZ\AppData\Local\Temp\LOGO CF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GAN~1.BOZ\AppData\Local\Temp\LOGO CFH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16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1F6" w:rsidRPr="00F601CE">
        <w:rPr>
          <w:noProof/>
          <w:sz w:val="24"/>
          <w:szCs w:val="24"/>
          <w:lang w:eastAsia="fr-FR"/>
        </w:rPr>
        <w:drawing>
          <wp:anchor distT="0" distB="0" distL="114300" distR="114300" simplePos="0" relativeHeight="251657728" behindDoc="0" locked="0" layoutInCell="1" allowOverlap="1" wp14:anchorId="3234DAA2" wp14:editId="30B441C2">
            <wp:simplePos x="0" y="0"/>
            <wp:positionH relativeFrom="column">
              <wp:posOffset>935355</wp:posOffset>
            </wp:positionH>
            <wp:positionV relativeFrom="paragraph">
              <wp:posOffset>8287385</wp:posOffset>
            </wp:positionV>
            <wp:extent cx="2257425" cy="724535"/>
            <wp:effectExtent l="0" t="0" r="9525" b="0"/>
            <wp:wrapNone/>
            <wp:docPr id="4" name="Image 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724535"/>
                    </a:xfrm>
                    <a:prstGeom prst="rect">
                      <a:avLst/>
                    </a:prstGeom>
                    <a:noFill/>
                  </pic:spPr>
                </pic:pic>
              </a:graphicData>
            </a:graphic>
            <wp14:sizeRelH relativeFrom="page">
              <wp14:pctWidth>0</wp14:pctWidth>
            </wp14:sizeRelH>
            <wp14:sizeRelV relativeFrom="page">
              <wp14:pctHeight>0</wp14:pctHeight>
            </wp14:sizeRelV>
          </wp:anchor>
        </w:drawing>
      </w:r>
      <w:r w:rsidR="002301F6" w:rsidRPr="00F601CE">
        <w:rPr>
          <w:noProof/>
          <w:sz w:val="24"/>
          <w:szCs w:val="24"/>
          <w:lang w:eastAsia="fr-FR"/>
        </w:rPr>
        <w:drawing>
          <wp:anchor distT="0" distB="0" distL="114300" distR="114300" simplePos="0" relativeHeight="251658752" behindDoc="0" locked="0" layoutInCell="1" allowOverlap="1" wp14:anchorId="0E4B7F34" wp14:editId="015BAB90">
            <wp:simplePos x="0" y="0"/>
            <wp:positionH relativeFrom="column">
              <wp:posOffset>3283585</wp:posOffset>
            </wp:positionH>
            <wp:positionV relativeFrom="paragraph">
              <wp:posOffset>8478520</wp:posOffset>
            </wp:positionV>
            <wp:extent cx="3191510" cy="532130"/>
            <wp:effectExtent l="0" t="0" r="8890" b="1270"/>
            <wp:wrapNone/>
            <wp:docPr id="5" name="Image 5"/>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510" cy="532130"/>
                    </a:xfrm>
                    <a:prstGeom prst="rect">
                      <a:avLst/>
                    </a:prstGeom>
                  </pic:spPr>
                </pic:pic>
              </a:graphicData>
            </a:graphic>
            <wp14:sizeRelH relativeFrom="page">
              <wp14:pctWidth>0</wp14:pctWidth>
            </wp14:sizeRelH>
            <wp14:sizeRelV relativeFrom="page">
              <wp14:pctHeight>0</wp14:pctHeight>
            </wp14:sizeRelV>
          </wp:anchor>
        </w:drawing>
      </w:r>
      <w:r w:rsidR="00656612">
        <w:rPr>
          <w:noProof/>
          <w:sz w:val="24"/>
          <w:szCs w:val="24"/>
          <w:lang w:eastAsia="fr-FR"/>
        </w:rPr>
        <mc:AlternateContent>
          <mc:Choice Requires="wps">
            <w:drawing>
              <wp:anchor distT="0" distB="0" distL="114300" distR="114300" simplePos="0" relativeHeight="251659776" behindDoc="0" locked="0" layoutInCell="1" allowOverlap="1" wp14:anchorId="34D1533C" wp14:editId="5D72E6CF">
                <wp:simplePos x="0" y="0"/>
                <wp:positionH relativeFrom="column">
                  <wp:posOffset>5406114</wp:posOffset>
                </wp:positionH>
                <wp:positionV relativeFrom="paragraph">
                  <wp:posOffset>8873933</wp:posOffset>
                </wp:positionV>
                <wp:extent cx="655332" cy="336430"/>
                <wp:effectExtent l="0" t="0" r="11430" b="26035"/>
                <wp:wrapNone/>
                <wp:docPr id="8" name="Rectangle 8"/>
                <wp:cNvGraphicFramePr/>
                <a:graphic xmlns:a="http://schemas.openxmlformats.org/drawingml/2006/main">
                  <a:graphicData uri="http://schemas.microsoft.com/office/word/2010/wordprocessingShape">
                    <wps:wsp>
                      <wps:cNvSpPr/>
                      <wps:spPr>
                        <a:xfrm>
                          <a:off x="0" y="0"/>
                          <a:ext cx="655332" cy="3364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672FC7" id="Rectangle 8" o:spid="_x0000_s1026" style="position:absolute;margin-left:425.7pt;margin-top:698.75pt;width:51.6pt;height:2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" fillcolor="white [3212]" strokecolor="white [3212]" strokeweight="2pt"/>
            </w:pict>
          </mc:Fallback>
        </mc:AlternateContent>
      </w:r>
      <w:r w:rsidR="001E72E4" w:rsidRPr="00530DC1">
        <w:rPr>
          <w:noProof/>
          <w:sz w:val="24"/>
          <w:szCs w:val="24"/>
          <w:lang w:eastAsia="fr-FR"/>
        </w:rPr>
        <mc:AlternateContent>
          <mc:Choice Requires="wps">
            <w:drawing>
              <wp:anchor distT="0" distB="0" distL="114300" distR="114300" simplePos="0" relativeHeight="251655680" behindDoc="0" locked="0" layoutInCell="1" allowOverlap="1" wp14:anchorId="1C0D7984" wp14:editId="4BFB84BC">
                <wp:simplePos x="0" y="0"/>
                <wp:positionH relativeFrom="column">
                  <wp:posOffset>-431165</wp:posOffset>
                </wp:positionH>
                <wp:positionV relativeFrom="paragraph">
                  <wp:posOffset>6856730</wp:posOffset>
                </wp:positionV>
                <wp:extent cx="6495415" cy="1403985"/>
                <wp:effectExtent l="0" t="0" r="19685" b="241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C020B3" w:rsidRPr="00795522" w:rsidRDefault="00C020B3" w:rsidP="001E72E4">
                            <w:pPr>
                              <w:jc w:val="center"/>
                              <w:rPr>
                                <w:color w:val="FFFFFF" w:themeColor="background1"/>
                                <w:sz w:val="24"/>
                              </w:rPr>
                            </w:pPr>
                            <w:r w:rsidRPr="00795522">
                              <w:rPr>
                                <w:color w:val="FFFFFF" w:themeColor="background1"/>
                                <w:sz w:val="24"/>
                              </w:rPr>
                              <w:t xml:space="preserve">Travail réalisé dans le cadre </w:t>
                            </w:r>
                            <w:r w:rsidR="0029199F">
                              <w:rPr>
                                <w:color w:val="FFFFFF" w:themeColor="background1"/>
                                <w:sz w:val="24"/>
                              </w:rPr>
                              <w:t xml:space="preserve">d’un partenariat entre le CFHE </w:t>
                            </w:r>
                            <w:r w:rsidRPr="00795522">
                              <w:rPr>
                                <w:color w:val="FFFFFF" w:themeColor="background1"/>
                                <w:sz w:val="24"/>
                              </w:rPr>
                              <w:t>et le Centre Ressources Recherche Appliquée et Handicap</w:t>
                            </w:r>
                            <w:r w:rsidR="0029199F">
                              <w:rPr>
                                <w:color w:val="FFFFFF" w:themeColor="background1"/>
                                <w:sz w:val="24"/>
                              </w:rPr>
                              <w:t xml:space="preserve"> coordonné par la FIRAH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C0D7984" id="_x0000_s1028" type="#_x0000_t202" style="position:absolute;margin-left:-33.95pt;margin-top:539.9pt;width:511.4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" fillcolor="#e36c0a [2409]" strokecolor="#e36c0a [2409]">
                <v:textbox style="mso-fit-shape-to-text:t">
                  <w:txbxContent>
                    <w:p w:rsidR="00C020B3" w:rsidRPr="00795522" w:rsidRDefault="00C020B3" w:rsidP="001E72E4">
                      <w:pPr>
                        <w:jc w:val="center"/>
                        <w:rPr>
                          <w:color w:val="FFFFFF" w:themeColor="background1"/>
                          <w:sz w:val="24"/>
                        </w:rPr>
                      </w:pPr>
                      <w:r w:rsidRPr="00795522">
                        <w:rPr>
                          <w:color w:val="FFFFFF" w:themeColor="background1"/>
                          <w:sz w:val="24"/>
                        </w:rPr>
                        <w:t xml:space="preserve">Travail réalisé dans le cadre </w:t>
                      </w:r>
                      <w:r w:rsidR="0029199F">
                        <w:rPr>
                          <w:color w:val="FFFFFF" w:themeColor="background1"/>
                          <w:sz w:val="24"/>
                        </w:rPr>
                        <w:t xml:space="preserve">d’un partenariat entre le CFHE </w:t>
                      </w:r>
                      <w:r w:rsidRPr="00795522">
                        <w:rPr>
                          <w:color w:val="FFFFFF" w:themeColor="background1"/>
                          <w:sz w:val="24"/>
                        </w:rPr>
                        <w:t>et le Centre Ressources Recherche Appliquée et Handicap</w:t>
                      </w:r>
                      <w:r w:rsidR="0029199F">
                        <w:rPr>
                          <w:color w:val="FFFFFF" w:themeColor="background1"/>
                          <w:sz w:val="24"/>
                        </w:rPr>
                        <w:t xml:space="preserve"> coordonné par la FIRAH</w:t>
                      </w:r>
                    </w:p>
                  </w:txbxContent>
                </v:textbox>
              </v:shape>
            </w:pict>
          </mc:Fallback>
        </mc:AlternateContent>
      </w:r>
      <w:r w:rsidR="001E72E4">
        <w:rPr>
          <w:sz w:val="24"/>
          <w:szCs w:val="24"/>
        </w:rPr>
        <w:br w:type="page"/>
      </w:r>
    </w:p>
    <w:p w:rsidR="008029B1" w:rsidRPr="00F601CE" w:rsidRDefault="008D5016" w:rsidP="00F601CE">
      <w:pPr>
        <w:rPr>
          <w:sz w:val="24"/>
          <w:szCs w:val="24"/>
        </w:rPr>
      </w:pPr>
      <w:r>
        <w:rPr>
          <w:noProof/>
          <w:sz w:val="24"/>
          <w:szCs w:val="24"/>
          <w:lang w:eastAsia="fr-FR"/>
        </w:rPr>
        <w:lastRenderedPageBreak/>
        <w:drawing>
          <wp:anchor distT="0" distB="0" distL="114300" distR="114300" simplePos="0" relativeHeight="251661824" behindDoc="0" locked="0" layoutInCell="1" allowOverlap="1" wp14:anchorId="1943A781" wp14:editId="537DCD57">
            <wp:simplePos x="0" y="0"/>
            <wp:positionH relativeFrom="column">
              <wp:posOffset>2002155</wp:posOffset>
            </wp:positionH>
            <wp:positionV relativeFrom="paragraph">
              <wp:posOffset>-430914</wp:posOffset>
            </wp:positionV>
            <wp:extent cx="1750077" cy="2030819"/>
            <wp:effectExtent l="0" t="0" r="2540" b="7620"/>
            <wp:wrapNone/>
            <wp:docPr id="11" name="Image 11" descr="C:\Users\GERGAN~1.BOZ\AppData\Local\Temp\LOGO CF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GAN~1.BOZ\AppData\Local\Temp\LOGO CFH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077" cy="20308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9B1" w:rsidRPr="00F601CE" w:rsidRDefault="008029B1" w:rsidP="00F601CE">
      <w:pPr>
        <w:rPr>
          <w:sz w:val="24"/>
          <w:szCs w:val="24"/>
        </w:rPr>
      </w:pPr>
    </w:p>
    <w:p w:rsidR="008029B1" w:rsidRPr="00F601CE" w:rsidRDefault="008029B1" w:rsidP="00F601CE">
      <w:pPr>
        <w:rPr>
          <w:sz w:val="24"/>
          <w:szCs w:val="24"/>
        </w:rPr>
      </w:pPr>
    </w:p>
    <w:p w:rsidR="008029B1" w:rsidRPr="00F601CE" w:rsidRDefault="008029B1" w:rsidP="00F601CE">
      <w:pPr>
        <w:rPr>
          <w:sz w:val="24"/>
          <w:szCs w:val="24"/>
        </w:rPr>
      </w:pPr>
    </w:p>
    <w:p w:rsidR="008029B1" w:rsidRPr="00F601CE" w:rsidRDefault="008029B1" w:rsidP="00F601CE">
      <w:pPr>
        <w:rPr>
          <w:sz w:val="24"/>
          <w:szCs w:val="24"/>
        </w:rPr>
      </w:pPr>
    </w:p>
    <w:p w:rsidR="007955E4" w:rsidRDefault="007955E4" w:rsidP="007955E4">
      <w:pPr>
        <w:jc w:val="both"/>
        <w:rPr>
          <w:sz w:val="24"/>
        </w:rPr>
      </w:pPr>
    </w:p>
    <w:p w:rsidR="007955E4" w:rsidRDefault="007955E4" w:rsidP="007955E4">
      <w:pPr>
        <w:jc w:val="both"/>
        <w:rPr>
          <w:sz w:val="24"/>
        </w:rPr>
      </w:pPr>
    </w:p>
    <w:p w:rsidR="007955E4" w:rsidRDefault="007955E4" w:rsidP="007955E4">
      <w:pPr>
        <w:jc w:val="both"/>
        <w:rPr>
          <w:sz w:val="24"/>
        </w:rPr>
      </w:pPr>
    </w:p>
    <w:p w:rsidR="007955E4" w:rsidRPr="002301F6" w:rsidRDefault="007955E4" w:rsidP="002301F6">
      <w:pPr>
        <w:rPr>
          <w:b/>
          <w:sz w:val="24"/>
          <w:szCs w:val="24"/>
          <w:u w:val="single"/>
        </w:rPr>
      </w:pPr>
      <w:r w:rsidRPr="005B1992">
        <w:rPr>
          <w:sz w:val="24"/>
        </w:rPr>
        <w:t>Le Conseil Français des personnes Handicapées pour les questions Européennes (</w:t>
      </w:r>
      <w:r>
        <w:rPr>
          <w:sz w:val="24"/>
        </w:rPr>
        <w:t xml:space="preserve">CFHE, </w:t>
      </w:r>
      <w:hyperlink r:id="rId12" w:history="1">
        <w:r w:rsidRPr="005B1992">
          <w:rPr>
            <w:rStyle w:val="Lienhypertexte"/>
            <w:b/>
            <w:color w:val="auto"/>
            <w:sz w:val="24"/>
            <w:szCs w:val="24"/>
          </w:rPr>
          <w:t>http://www.cfhe.org/</w:t>
        </w:r>
      </w:hyperlink>
      <w:r>
        <w:rPr>
          <w:rStyle w:val="Lienhypertexte"/>
          <w:b/>
          <w:color w:val="auto"/>
          <w:sz w:val="24"/>
          <w:szCs w:val="24"/>
        </w:rPr>
        <w:t>)</w:t>
      </w:r>
      <w:r w:rsidRPr="008D5016">
        <w:rPr>
          <w:sz w:val="24"/>
        </w:rPr>
        <w:t xml:space="preserve"> </w:t>
      </w:r>
      <w:r w:rsidR="0017641F" w:rsidRPr="0017641F">
        <w:rPr>
          <w:sz w:val="24"/>
        </w:rPr>
        <w:t>est une association qui repré</w:t>
      </w:r>
      <w:r w:rsidR="0017641F">
        <w:rPr>
          <w:sz w:val="24"/>
        </w:rPr>
        <w:t xml:space="preserve">sente les points de vue et les </w:t>
      </w:r>
      <w:r w:rsidR="0017641F" w:rsidRPr="0017641F">
        <w:rPr>
          <w:sz w:val="24"/>
        </w:rPr>
        <w:t xml:space="preserve">intérêts des associations françaises dans </w:t>
      </w:r>
      <w:r w:rsidR="0017641F">
        <w:rPr>
          <w:sz w:val="24"/>
        </w:rPr>
        <w:t xml:space="preserve">le champ du handicap au niveau européen. </w:t>
      </w:r>
      <w:r w:rsidR="0017641F" w:rsidRPr="0017641F">
        <w:rPr>
          <w:sz w:val="24"/>
        </w:rPr>
        <w:t xml:space="preserve">Les missions du CFHE sont d’informer ses membres </w:t>
      </w:r>
      <w:r w:rsidR="0017641F">
        <w:rPr>
          <w:sz w:val="24"/>
        </w:rPr>
        <w:t xml:space="preserve">sur les évolutions et l’impact </w:t>
      </w:r>
      <w:r w:rsidR="0017641F" w:rsidRPr="0017641F">
        <w:rPr>
          <w:sz w:val="24"/>
        </w:rPr>
        <w:t>des politiques et des  pratiques européen</w:t>
      </w:r>
      <w:r w:rsidR="0017641F">
        <w:rPr>
          <w:sz w:val="24"/>
        </w:rPr>
        <w:t xml:space="preserve">nes en matière de handicap, de </w:t>
      </w:r>
      <w:r w:rsidR="0017641F" w:rsidRPr="0017641F">
        <w:rPr>
          <w:sz w:val="24"/>
        </w:rPr>
        <w:t>porter le point de vue des associations franç</w:t>
      </w:r>
      <w:r w:rsidR="0017641F">
        <w:rPr>
          <w:sz w:val="24"/>
        </w:rPr>
        <w:t xml:space="preserve">aises auprès des organisations </w:t>
      </w:r>
      <w:r w:rsidR="0017641F" w:rsidRPr="0017641F">
        <w:rPr>
          <w:sz w:val="24"/>
        </w:rPr>
        <w:t>européennes telles que le Forum européen de</w:t>
      </w:r>
      <w:r w:rsidR="0017641F">
        <w:rPr>
          <w:sz w:val="24"/>
        </w:rPr>
        <w:t xml:space="preserve">s personnes handicapées, où le </w:t>
      </w:r>
      <w:r w:rsidR="0017641F" w:rsidRPr="0017641F">
        <w:rPr>
          <w:sz w:val="24"/>
        </w:rPr>
        <w:t>CFHE assure la représentation français</w:t>
      </w:r>
      <w:r w:rsidR="0017641F">
        <w:rPr>
          <w:sz w:val="24"/>
        </w:rPr>
        <w:t xml:space="preserve">e, mais également  auprès  des </w:t>
      </w:r>
      <w:r w:rsidR="0017641F" w:rsidRPr="0017641F">
        <w:rPr>
          <w:sz w:val="24"/>
        </w:rPr>
        <w:t>autorités publiques françaises et européenne</w:t>
      </w:r>
      <w:r w:rsidR="0017641F">
        <w:rPr>
          <w:sz w:val="24"/>
        </w:rPr>
        <w:t xml:space="preserve">s, d’expliquer et de mettre en </w:t>
      </w:r>
      <w:r w:rsidR="0017641F" w:rsidRPr="0017641F">
        <w:rPr>
          <w:sz w:val="24"/>
        </w:rPr>
        <w:t>valeur les approches européennes dans différents d</w:t>
      </w:r>
      <w:r w:rsidR="0017641F">
        <w:rPr>
          <w:sz w:val="24"/>
        </w:rPr>
        <w:t xml:space="preserve">omaines tels que l’éducation, </w:t>
      </w:r>
      <w:r w:rsidR="0017641F" w:rsidRPr="0017641F">
        <w:rPr>
          <w:sz w:val="24"/>
        </w:rPr>
        <w:t xml:space="preserve">l’emploi, l’accessibilité et  de veiller à la </w:t>
      </w:r>
      <w:r w:rsidR="0017641F">
        <w:rPr>
          <w:sz w:val="24"/>
        </w:rPr>
        <w:t xml:space="preserve">transposition des législations </w:t>
      </w:r>
      <w:r w:rsidR="0017641F" w:rsidRPr="0017641F">
        <w:rPr>
          <w:sz w:val="24"/>
        </w:rPr>
        <w:t>européennes à l’échelon national dans</w:t>
      </w:r>
      <w:r w:rsidR="0017641F">
        <w:rPr>
          <w:sz w:val="24"/>
        </w:rPr>
        <w:t xml:space="preserve"> l’esprit de la Convention des </w:t>
      </w:r>
      <w:r w:rsidR="0017641F" w:rsidRPr="0017641F">
        <w:rPr>
          <w:sz w:val="24"/>
        </w:rPr>
        <w:t>Nations-unies relative aux droits des personnes handicapées.</w:t>
      </w:r>
    </w:p>
    <w:p w:rsidR="008029B1" w:rsidRPr="00F601CE" w:rsidRDefault="002301F6" w:rsidP="002301F6">
      <w:pPr>
        <w:jc w:val="center"/>
        <w:rPr>
          <w:sz w:val="24"/>
          <w:szCs w:val="24"/>
        </w:rPr>
      </w:pPr>
      <w:r w:rsidRPr="00F601CE">
        <w:rPr>
          <w:noProof/>
          <w:sz w:val="24"/>
          <w:szCs w:val="24"/>
          <w:lang w:eastAsia="fr-FR"/>
        </w:rPr>
        <w:drawing>
          <wp:inline distT="0" distB="0" distL="0" distR="0" wp14:anchorId="0B9606E2" wp14:editId="1592C75F">
            <wp:extent cx="3221665" cy="1025938"/>
            <wp:effectExtent l="0" t="0" r="0" b="317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7416" cy="1034138"/>
                    </a:xfrm>
                    <a:prstGeom prst="rect">
                      <a:avLst/>
                    </a:prstGeom>
                    <a:noFill/>
                  </pic:spPr>
                </pic:pic>
              </a:graphicData>
            </a:graphic>
          </wp:inline>
        </w:drawing>
      </w:r>
    </w:p>
    <w:p w:rsidR="007955E4" w:rsidRDefault="007955E4" w:rsidP="007955E4">
      <w:pPr>
        <w:jc w:val="both"/>
        <w:rPr>
          <w:rFonts w:eastAsia="Calibri" w:cs="Times New Roman"/>
          <w:sz w:val="24"/>
          <w:szCs w:val="24"/>
        </w:rPr>
      </w:pPr>
    </w:p>
    <w:p w:rsidR="007955E4" w:rsidRPr="007955E4" w:rsidRDefault="007955E4" w:rsidP="007955E4">
      <w:pPr>
        <w:jc w:val="both"/>
        <w:rPr>
          <w:rFonts w:eastAsia="Calibri" w:cs="Calibri"/>
          <w:b/>
          <w:sz w:val="24"/>
          <w:szCs w:val="24"/>
          <w:u w:val="single"/>
        </w:rPr>
      </w:pPr>
      <w:r w:rsidRPr="007955E4">
        <w:rPr>
          <w:rFonts w:eastAsia="Calibri" w:cs="Times New Roman"/>
          <w:sz w:val="24"/>
          <w:szCs w:val="24"/>
        </w:rPr>
        <w:t xml:space="preserve">La mission de la Fondation Internationale de la Recherche Appliquée sur le Handicap (FIRAH, </w:t>
      </w:r>
      <w:hyperlink r:id="rId13" w:tooltip="Site internet de la FIRAH, nouvelle fenêtre" w:history="1">
        <w:r w:rsidRPr="007955E4">
          <w:rPr>
            <w:rStyle w:val="Lienhypertexte"/>
            <w:rFonts w:eastAsia="Calibri" w:cs="Calibri"/>
            <w:b/>
            <w:color w:val="auto"/>
            <w:sz w:val="24"/>
            <w:szCs w:val="24"/>
          </w:rPr>
          <w:t>http://www.firah.org/</w:t>
        </w:r>
      </w:hyperlink>
      <w:r w:rsidRPr="007955E4">
        <w:rPr>
          <w:rFonts w:eastAsia="Calibri" w:cs="Times New Roman"/>
          <w:sz w:val="24"/>
          <w:szCs w:val="24"/>
        </w:rPr>
        <w:t>) s’articule autour de 2 axes qui se complètent et s’assemblent :</w:t>
      </w:r>
    </w:p>
    <w:p w:rsidR="007955E4" w:rsidRPr="007955E4" w:rsidRDefault="007955E4" w:rsidP="007955E4">
      <w:pPr>
        <w:jc w:val="both"/>
        <w:rPr>
          <w:rFonts w:eastAsia="Calibri" w:cs="Arial"/>
          <w:color w:val="000000"/>
          <w:sz w:val="24"/>
          <w:szCs w:val="24"/>
        </w:rPr>
      </w:pPr>
      <w:r w:rsidRPr="007955E4">
        <w:rPr>
          <w:rFonts w:eastAsia="Calibri" w:cs="Times New Roman"/>
          <w:sz w:val="24"/>
          <w:szCs w:val="24"/>
        </w:rPr>
        <w:t>1/ La sélection et le financement de projets de recherche appliquée sur le handicap via ses appels à projets annuels,</w:t>
      </w:r>
    </w:p>
    <w:p w:rsidR="007955E4" w:rsidRPr="007955E4" w:rsidRDefault="00E701D7" w:rsidP="007955E4">
      <w:pPr>
        <w:rPr>
          <w:rFonts w:eastAsia="Calibri" w:cs="Times New Roman"/>
          <w:sz w:val="24"/>
          <w:szCs w:val="24"/>
        </w:rPr>
      </w:pPr>
      <w:r w:rsidRPr="00F601CE">
        <w:rPr>
          <w:noProof/>
          <w:lang w:eastAsia="fr-FR"/>
        </w:rPr>
        <w:drawing>
          <wp:anchor distT="0" distB="0" distL="114300" distR="114300" simplePos="0" relativeHeight="251658240" behindDoc="0" locked="0" layoutInCell="1" allowOverlap="1" wp14:anchorId="300B9F51" wp14:editId="48EBAE5B">
            <wp:simplePos x="0" y="0"/>
            <wp:positionH relativeFrom="column">
              <wp:posOffset>2540</wp:posOffset>
            </wp:positionH>
            <wp:positionV relativeFrom="paragraph">
              <wp:posOffset>1108710</wp:posOffset>
            </wp:positionV>
            <wp:extent cx="2379345" cy="404495"/>
            <wp:effectExtent l="0" t="0" r="1905" b="0"/>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9345" cy="404495"/>
                    </a:xfrm>
                    <a:prstGeom prst="rect">
                      <a:avLst/>
                    </a:prstGeom>
                  </pic:spPr>
                </pic:pic>
              </a:graphicData>
            </a:graphic>
            <wp14:sizeRelH relativeFrom="page">
              <wp14:pctWidth>0</wp14:pctWidth>
            </wp14:sizeRelH>
            <wp14:sizeRelV relativeFrom="page">
              <wp14:pctHeight>0</wp14:pctHeight>
            </wp14:sizeRelV>
          </wp:anchor>
        </w:drawing>
      </w:r>
      <w:r w:rsidR="007955E4" w:rsidRPr="007955E4">
        <w:rPr>
          <w:rFonts w:eastAsia="Calibri" w:cs="Times New Roman"/>
          <w:sz w:val="24"/>
          <w:szCs w:val="24"/>
        </w:rPr>
        <w:t xml:space="preserve">2/ La coordination du Centre ressources Recherche Appliquée et Handicap. Le Centre Ressources est un </w:t>
      </w:r>
      <w:r w:rsidR="007955E4" w:rsidRPr="007955E4">
        <w:rPr>
          <w:rFonts w:eastAsia="Calibri" w:cs="Calibri"/>
          <w:color w:val="000000"/>
          <w:sz w:val="24"/>
          <w:szCs w:val="24"/>
        </w:rPr>
        <w:t>espace collaboratif de partage de connaissances concernant la recherche appliquée sur le handicap. Il souhaite mettre la recherche sur le handicap au service des acteurs de terrain</w:t>
      </w:r>
      <w:r w:rsidR="007955E4" w:rsidRPr="00F601CE">
        <w:rPr>
          <w:rStyle w:val="Appelnotedebasdep"/>
          <w:rFonts w:eastAsia="Calibri" w:cs="Calibri"/>
          <w:color w:val="000000"/>
          <w:sz w:val="24"/>
          <w:szCs w:val="24"/>
        </w:rPr>
        <w:footnoteReference w:id="1"/>
      </w:r>
      <w:r w:rsidR="007955E4" w:rsidRPr="007955E4">
        <w:rPr>
          <w:rFonts w:eastAsia="Calibri" w:cs="Calibri"/>
          <w:color w:val="000000"/>
          <w:sz w:val="24"/>
          <w:szCs w:val="24"/>
        </w:rPr>
        <w:t xml:space="preserve"> en prenant en compte leurs besoins et attentes en facilitant le montage de projets de recherche appliquée, diffusant et valorisant leurs résultats.</w:t>
      </w:r>
      <w:r w:rsidR="007955E4" w:rsidRPr="007955E4">
        <w:rPr>
          <w:noProof/>
          <w:sz w:val="24"/>
          <w:szCs w:val="24"/>
          <w:lang w:eastAsia="fr-FR"/>
        </w:rPr>
        <w:t xml:space="preserve"> </w:t>
      </w:r>
    </w:p>
    <w:p w:rsidR="00E701D7" w:rsidRDefault="00E701D7" w:rsidP="00E701D7">
      <w:pPr>
        <w:spacing w:line="120" w:lineRule="auto"/>
      </w:pPr>
    </w:p>
    <w:p w:rsidR="00606B0E" w:rsidRPr="00E701D7" w:rsidRDefault="00661D5B" w:rsidP="00E701D7">
      <w:pPr>
        <w:pStyle w:val="Paragraphedeliste"/>
        <w:rPr>
          <w:rFonts w:eastAsia="Calibri" w:cs="Times New Roman"/>
          <w:sz w:val="24"/>
          <w:szCs w:val="24"/>
        </w:rPr>
      </w:pPr>
      <w:hyperlink r:id="rId15" w:tooltip="Site internet du Centre Ressources Recherche Appliquée et Handicap, nouvelle fenêtre" w:history="1">
        <w:r w:rsidR="007955E4" w:rsidRPr="00E701D7">
          <w:rPr>
            <w:rStyle w:val="Lienhypertexte"/>
            <w:rFonts w:eastAsia="Calibri" w:cs="Calibri"/>
            <w:b/>
            <w:color w:val="auto"/>
            <w:sz w:val="24"/>
            <w:szCs w:val="24"/>
          </w:rPr>
          <w:t>http://www.firah.org/centre-ressources/</w:t>
        </w:r>
      </w:hyperlink>
      <w:bookmarkStart w:id="0" w:name="_GoBack"/>
      <w:bookmarkEnd w:id="0"/>
      <w:r w:rsidR="00606B0E" w:rsidRPr="00E701D7">
        <w:rPr>
          <w:sz w:val="24"/>
          <w:szCs w:val="24"/>
        </w:rPr>
        <w:br w:type="page"/>
      </w:r>
    </w:p>
    <w:p w:rsidR="00606B0E" w:rsidRPr="00356F83" w:rsidRDefault="00606B0E" w:rsidP="00356F83">
      <w:pPr>
        <w:pBdr>
          <w:left w:val="single" w:sz="4" w:space="4" w:color="E36C0A" w:themeColor="accent6" w:themeShade="BF"/>
          <w:bottom w:val="single" w:sz="4" w:space="1" w:color="E36C0A" w:themeColor="accent6" w:themeShade="BF"/>
        </w:pBdr>
        <w:jc w:val="center"/>
        <w:rPr>
          <w:b/>
          <w:color w:val="E36C0A" w:themeColor="accent6" w:themeShade="BF"/>
          <w:sz w:val="32"/>
          <w:szCs w:val="24"/>
        </w:rPr>
      </w:pPr>
      <w:r w:rsidRPr="00356F83">
        <w:rPr>
          <w:b/>
          <w:color w:val="E36C0A" w:themeColor="accent6" w:themeShade="BF"/>
          <w:sz w:val="32"/>
          <w:szCs w:val="24"/>
        </w:rPr>
        <w:lastRenderedPageBreak/>
        <w:t>Sommaire</w:t>
      </w:r>
    </w:p>
    <w:p w:rsidR="00606B0E" w:rsidRPr="00F601CE" w:rsidRDefault="00606B0E" w:rsidP="00F601CE">
      <w:pPr>
        <w:rPr>
          <w:sz w:val="24"/>
          <w:szCs w:val="24"/>
        </w:rPr>
      </w:pPr>
    </w:p>
    <w:sdt>
      <w:sdtPr>
        <w:rPr>
          <w:rFonts w:asciiTheme="minorHAnsi" w:eastAsiaTheme="minorHAnsi" w:hAnsiTheme="minorHAnsi" w:cstheme="minorBidi"/>
          <w:b w:val="0"/>
          <w:bCs w:val="0"/>
          <w:color w:val="auto"/>
          <w:sz w:val="22"/>
          <w:szCs w:val="22"/>
          <w:lang w:eastAsia="en-US"/>
        </w:rPr>
        <w:id w:val="-346952200"/>
        <w:docPartObj>
          <w:docPartGallery w:val="Table of Contents"/>
          <w:docPartUnique/>
        </w:docPartObj>
      </w:sdtPr>
      <w:sdtEndPr>
        <w:rPr>
          <w:sz w:val="24"/>
        </w:rPr>
      </w:sdtEndPr>
      <w:sdtContent>
        <w:p w:rsidR="00356F83" w:rsidRDefault="00356F83">
          <w:pPr>
            <w:pStyle w:val="En-ttedetabledesmatires"/>
          </w:pPr>
        </w:p>
        <w:p w:rsidR="003912B7" w:rsidRPr="006E7E3C" w:rsidRDefault="00356F83">
          <w:pPr>
            <w:pStyle w:val="TM1"/>
            <w:tabs>
              <w:tab w:val="right" w:leader="dot" w:pos="9062"/>
            </w:tabs>
            <w:rPr>
              <w:rFonts w:eastAsiaTheme="minorEastAsia"/>
              <w:noProof/>
              <w:sz w:val="24"/>
              <w:lang w:eastAsia="fr-FR"/>
            </w:rPr>
          </w:pPr>
          <w:r w:rsidRPr="001346E5">
            <w:rPr>
              <w:sz w:val="24"/>
            </w:rPr>
            <w:fldChar w:fldCharType="begin"/>
          </w:r>
          <w:r w:rsidRPr="001346E5">
            <w:rPr>
              <w:sz w:val="24"/>
            </w:rPr>
            <w:instrText xml:space="preserve"> TOC \o "1-3" \h \z \u </w:instrText>
          </w:r>
          <w:r w:rsidRPr="001346E5">
            <w:rPr>
              <w:sz w:val="24"/>
            </w:rPr>
            <w:fldChar w:fldCharType="separate"/>
          </w:r>
          <w:hyperlink w:anchor="_Toc433121262" w:history="1">
            <w:r w:rsidR="003912B7" w:rsidRPr="006E7E3C">
              <w:rPr>
                <w:rStyle w:val="Lienhypertexte"/>
                <w:b/>
                <w:noProof/>
                <w:sz w:val="28"/>
              </w:rPr>
              <w:t>Introduction</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_Toc433121262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5</w:t>
            </w:r>
            <w:r w:rsidR="003912B7" w:rsidRPr="006E7E3C">
              <w:rPr>
                <w:noProof/>
                <w:webHidden/>
                <w:sz w:val="24"/>
              </w:rPr>
              <w:fldChar w:fldCharType="end"/>
            </w:r>
          </w:hyperlink>
        </w:p>
        <w:p w:rsidR="006E7E3C" w:rsidRPr="006E7E3C" w:rsidRDefault="006E7E3C">
          <w:pPr>
            <w:pStyle w:val="TM1"/>
            <w:tabs>
              <w:tab w:val="right" w:leader="dot" w:pos="9062"/>
            </w:tabs>
            <w:rPr>
              <w:rStyle w:val="Lienhypertexte"/>
              <w:noProof/>
              <w:sz w:val="24"/>
            </w:rPr>
          </w:pPr>
        </w:p>
        <w:p w:rsidR="003912B7" w:rsidRPr="006E7E3C" w:rsidRDefault="00661D5B">
          <w:pPr>
            <w:pStyle w:val="TM1"/>
            <w:tabs>
              <w:tab w:val="right" w:leader="dot" w:pos="9062"/>
            </w:tabs>
            <w:rPr>
              <w:rFonts w:eastAsiaTheme="minorEastAsia"/>
              <w:noProof/>
              <w:sz w:val="24"/>
              <w:lang w:eastAsia="fr-FR"/>
            </w:rPr>
          </w:pPr>
          <w:hyperlink w:anchor="_Toc433121263" w:history="1">
            <w:r w:rsidR="003912B7" w:rsidRPr="006E7E3C">
              <w:rPr>
                <w:rStyle w:val="Lienhypertexte"/>
                <w:b/>
                <w:noProof/>
                <w:sz w:val="28"/>
              </w:rPr>
              <w:t>Education</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_Toc433121263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6</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64" w:history="1">
            <w:r w:rsidR="003912B7" w:rsidRPr="006E7E3C">
              <w:rPr>
                <w:rStyle w:val="Lienhypertexte"/>
                <w:noProof/>
                <w:sz w:val="24"/>
              </w:rPr>
              <w:t>Présentation des documents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_Toc433121264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6</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65" w:history="1">
            <w:r w:rsidR="003912B7" w:rsidRPr="006E7E3C">
              <w:rPr>
                <w:rStyle w:val="Lienhypertexte"/>
                <w:noProof/>
                <w:sz w:val="24"/>
              </w:rPr>
              <w:t>Eléments de contenu</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_Toc433121265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7</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66" w:history="1">
            <w:r w:rsidR="003912B7" w:rsidRPr="006E7E3C">
              <w:rPr>
                <w:rStyle w:val="Lienhypertexte"/>
                <w:noProof/>
                <w:sz w:val="24"/>
              </w:rPr>
              <w:t>Cadre de référence international</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_Toc433121266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7</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67" w:history="1">
            <w:r w:rsidR="003912B7" w:rsidRPr="006E7E3C">
              <w:rPr>
                <w:rStyle w:val="Lienhypertexte"/>
                <w:noProof/>
                <w:sz w:val="24"/>
              </w:rPr>
              <w:t>Les vecteurs de l’éducation inclusive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_Toc433121267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8</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68" w:history="1">
            <w:r w:rsidR="003912B7" w:rsidRPr="006E7E3C">
              <w:rPr>
                <w:rStyle w:val="Lienhypertexte"/>
                <w:noProof/>
                <w:sz w:val="24"/>
              </w:rPr>
              <w:t>L’éducation inclusive dans les pratiques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_Toc433121268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10</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69" w:history="1">
            <w:r w:rsidR="003912B7" w:rsidRPr="006E7E3C">
              <w:rPr>
                <w:rStyle w:val="Lienhypertexte"/>
                <w:noProof/>
                <w:sz w:val="24"/>
              </w:rPr>
              <w:t>Fiches de lecture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_Toc433121269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10</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70" w:history="1">
            <w:r w:rsidR="003912B7" w:rsidRPr="006E7E3C">
              <w:rPr>
                <w:rStyle w:val="Lienhypertexte"/>
                <w:noProof/>
                <w:sz w:val="24"/>
              </w:rPr>
              <w:t>Fiche 1. La scolarisation des élèves en situation de handicap en Europe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_Toc433121270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11</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71" w:history="1">
            <w:r w:rsidR="003912B7" w:rsidRPr="006E7E3C">
              <w:rPr>
                <w:rStyle w:val="Lienhypertexte"/>
                <w:noProof/>
                <w:sz w:val="24"/>
              </w:rPr>
              <w:t>Fiche 2. La scolarisation des enfants en situation de handicap dans les pays européens. Quelles voies de réforme pour la France ?</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_Toc433121271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12</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72" w:history="1">
            <w:r w:rsidR="003912B7" w:rsidRPr="006E7E3C">
              <w:rPr>
                <w:rStyle w:val="Lienhypertexte"/>
                <w:noProof/>
                <w:sz w:val="24"/>
                <w:lang w:val="en-US"/>
              </w:rPr>
              <w:t>Fiche 3. Inclusive education for young disabled people in Europe: trends, issues and challenges. A synthesis of evidence from ANED Country reports and additional sources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_Toc433121272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13</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73" w:history="1">
            <w:r w:rsidR="003912B7" w:rsidRPr="006E7E3C">
              <w:rPr>
                <w:rStyle w:val="Lienhypertexte"/>
                <w:noProof/>
                <w:sz w:val="24"/>
                <w:lang w:val="en-US"/>
              </w:rPr>
              <w:t>Fiche 4. Education and disability/special needs, policies and practices in education, training and employment for students with disabilities and special educational needs in the EU</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_Toc433121273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14</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74" w:history="1">
            <w:r w:rsidR="003912B7" w:rsidRPr="006E7E3C">
              <w:rPr>
                <w:rStyle w:val="Lienhypertexte"/>
                <w:noProof/>
                <w:sz w:val="24"/>
              </w:rPr>
              <w:t>Ressource(s) complémentaire(s) sur la même thématique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_Toc433121274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15</w:t>
            </w:r>
            <w:r w:rsidR="003912B7" w:rsidRPr="006E7E3C">
              <w:rPr>
                <w:noProof/>
                <w:webHidden/>
                <w:sz w:val="24"/>
              </w:rPr>
              <w:fldChar w:fldCharType="end"/>
            </w:r>
          </w:hyperlink>
        </w:p>
        <w:p w:rsidR="006E7E3C" w:rsidRPr="006E7E3C" w:rsidRDefault="006E7E3C">
          <w:pPr>
            <w:pStyle w:val="TM1"/>
            <w:tabs>
              <w:tab w:val="right" w:leader="dot" w:pos="9062"/>
            </w:tabs>
            <w:rPr>
              <w:rStyle w:val="Lienhypertexte"/>
              <w:noProof/>
              <w:sz w:val="24"/>
            </w:rPr>
          </w:pPr>
        </w:p>
        <w:p w:rsidR="003912B7" w:rsidRPr="006E7E3C" w:rsidRDefault="00661D5B">
          <w:pPr>
            <w:pStyle w:val="TM1"/>
            <w:tabs>
              <w:tab w:val="right" w:leader="dot" w:pos="9062"/>
            </w:tabs>
            <w:rPr>
              <w:rFonts w:eastAsiaTheme="minorEastAsia"/>
              <w:noProof/>
              <w:sz w:val="24"/>
              <w:lang w:eastAsia="fr-FR"/>
            </w:rPr>
          </w:pPr>
          <w:hyperlink w:anchor="_Toc433121275" w:history="1">
            <w:r w:rsidR="003912B7" w:rsidRPr="006E7E3C">
              <w:rPr>
                <w:rStyle w:val="Lienhypertexte"/>
                <w:b/>
                <w:noProof/>
                <w:sz w:val="28"/>
              </w:rPr>
              <w:t>Emploi</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_Toc433121275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16</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76" w:history="1">
            <w:r w:rsidR="003912B7" w:rsidRPr="006E7E3C">
              <w:rPr>
                <w:rStyle w:val="Lienhypertexte"/>
                <w:noProof/>
                <w:sz w:val="24"/>
              </w:rPr>
              <w:t>Présentation des documents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_Toc433121276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16</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77" w:history="1">
            <w:r w:rsidR="003912B7" w:rsidRPr="006E7E3C">
              <w:rPr>
                <w:rStyle w:val="Lienhypertexte"/>
                <w:noProof/>
                <w:sz w:val="24"/>
              </w:rPr>
              <w:t>Eléments de contenu</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_Toc433121277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17</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78" w:history="1">
            <w:r w:rsidR="003912B7" w:rsidRPr="006E7E3C">
              <w:rPr>
                <w:rStyle w:val="Lienhypertexte"/>
                <w:noProof/>
                <w:sz w:val="24"/>
              </w:rPr>
              <w:t>Cadre de référence international</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_Toc433121278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17</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79" w:history="1">
            <w:r w:rsidR="003912B7" w:rsidRPr="006E7E3C">
              <w:rPr>
                <w:rStyle w:val="Lienhypertexte"/>
                <w:noProof/>
                <w:sz w:val="24"/>
              </w:rPr>
              <w:t>Les vecteurs de l’amélioration de l’accès et du maintien dans l’emploi des personnes handicapées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_Toc433121279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18</w:t>
            </w:r>
            <w:r w:rsidR="003912B7" w:rsidRPr="006E7E3C">
              <w:rPr>
                <w:noProof/>
                <w:webHidden/>
                <w:sz w:val="24"/>
              </w:rPr>
              <w:fldChar w:fldCharType="end"/>
            </w:r>
          </w:hyperlink>
        </w:p>
        <w:p w:rsidR="003912B7" w:rsidRPr="006E7E3C" w:rsidRDefault="00661D5B">
          <w:pPr>
            <w:pStyle w:val="TM3"/>
            <w:rPr>
              <w:rFonts w:eastAsiaTheme="minorEastAsia"/>
              <w:noProof/>
              <w:sz w:val="24"/>
              <w:lang w:eastAsia="fr-FR"/>
            </w:rPr>
          </w:pPr>
          <w:hyperlink w:anchor="_Toc433121280" w:history="1">
            <w:r w:rsidR="003912B7" w:rsidRPr="006E7E3C">
              <w:rPr>
                <w:rStyle w:val="Lienhypertexte"/>
                <w:noProof/>
                <w:sz w:val="24"/>
              </w:rPr>
              <w:t>L’emploi des personnes handicapées dans les pratiques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_Toc433121280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20</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81" w:history="1">
            <w:r w:rsidR="003912B7" w:rsidRPr="006E7E3C">
              <w:rPr>
                <w:rStyle w:val="Lienhypertexte"/>
                <w:noProof/>
                <w:sz w:val="24"/>
              </w:rPr>
              <w:t>Fiches de lecture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_Toc433121281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20</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82" w:history="1">
            <w:r w:rsidR="003912B7" w:rsidRPr="006E7E3C">
              <w:rPr>
                <w:rStyle w:val="Lienhypertexte"/>
                <w:noProof/>
                <w:sz w:val="24"/>
                <w:lang w:val="en-US"/>
              </w:rPr>
              <w:t>Fiche 1. International study on the implementation of the UN Convention on the Rights of Persons with Disabilities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_Toc433121282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21</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83" w:history="1">
            <w:r w:rsidR="003912B7" w:rsidRPr="006E7E3C">
              <w:rPr>
                <w:rStyle w:val="Lienhypertexte"/>
                <w:noProof/>
                <w:sz w:val="24"/>
                <w:lang w:val="en-US"/>
              </w:rPr>
              <w:t>Fiche 2. Supported employment for people with disabilities in the EU and EFTA-EEA – Good practices and recommendations in support of a flexicurity approach</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_Toc433121283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23</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84" w:history="1">
            <w:r w:rsidR="003912B7" w:rsidRPr="006E7E3C">
              <w:rPr>
                <w:rStyle w:val="Lienhypertexte"/>
                <w:noProof/>
                <w:sz w:val="24"/>
                <w:lang w:val="en-US"/>
              </w:rPr>
              <w:t>Fiche 3. Compendium of good practice: supported employment for people with disabilities in the EU and EFTA-EEA</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_Toc433121284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25</w:t>
            </w:r>
            <w:r w:rsidR="003912B7" w:rsidRPr="006E7E3C">
              <w:rPr>
                <w:noProof/>
                <w:webHidden/>
                <w:sz w:val="24"/>
              </w:rPr>
              <w:fldChar w:fldCharType="end"/>
            </w:r>
          </w:hyperlink>
        </w:p>
        <w:p w:rsidR="003912B7" w:rsidRPr="006E7E3C" w:rsidRDefault="00661D5B">
          <w:pPr>
            <w:pStyle w:val="TM3"/>
            <w:tabs>
              <w:tab w:val="left" w:pos="1320"/>
            </w:tabs>
            <w:rPr>
              <w:rFonts w:eastAsiaTheme="minorEastAsia"/>
              <w:noProof/>
              <w:sz w:val="24"/>
              <w:lang w:eastAsia="fr-FR"/>
            </w:rPr>
          </w:pPr>
          <w:hyperlink w:anchor="_Toc433121285" w:history="1">
            <w:r w:rsidR="003912B7" w:rsidRPr="006E7E3C">
              <w:rPr>
                <w:rStyle w:val="Lienhypertexte"/>
                <w:noProof/>
                <w:sz w:val="24"/>
                <w:lang w:val="en-US"/>
              </w:rPr>
              <w:t>Fiche 4. The labour market situation of disabled people in European countries and implementation of employment policies: a summary of evidence from country reports and research studies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_Toc433121285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26</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86" w:history="1">
            <w:r w:rsidR="003912B7" w:rsidRPr="006E7E3C">
              <w:rPr>
                <w:rStyle w:val="Lienhypertexte"/>
                <w:noProof/>
                <w:sz w:val="24"/>
              </w:rPr>
              <w:t>Ressource(s) complémentaire(s) sur la même thématique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_Toc433121286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27</w:t>
            </w:r>
            <w:r w:rsidR="003912B7" w:rsidRPr="006E7E3C">
              <w:rPr>
                <w:noProof/>
                <w:webHidden/>
                <w:sz w:val="24"/>
              </w:rPr>
              <w:fldChar w:fldCharType="end"/>
            </w:r>
          </w:hyperlink>
        </w:p>
        <w:p w:rsidR="006E7E3C" w:rsidRPr="006E7E3C" w:rsidRDefault="006E7E3C">
          <w:pPr>
            <w:pStyle w:val="TM1"/>
            <w:tabs>
              <w:tab w:val="right" w:leader="dot" w:pos="9062"/>
            </w:tabs>
            <w:rPr>
              <w:rStyle w:val="Lienhypertexte"/>
              <w:noProof/>
              <w:sz w:val="24"/>
            </w:rPr>
          </w:pPr>
        </w:p>
        <w:p w:rsidR="003912B7" w:rsidRPr="006E7E3C" w:rsidRDefault="00661D5B">
          <w:pPr>
            <w:pStyle w:val="TM1"/>
            <w:tabs>
              <w:tab w:val="right" w:leader="dot" w:pos="9062"/>
            </w:tabs>
            <w:rPr>
              <w:rFonts w:eastAsiaTheme="minorEastAsia"/>
              <w:noProof/>
              <w:sz w:val="24"/>
              <w:lang w:eastAsia="fr-FR"/>
            </w:rPr>
          </w:pPr>
          <w:hyperlink w:anchor="_Toc433121287" w:history="1">
            <w:r w:rsidR="003912B7" w:rsidRPr="006E7E3C">
              <w:rPr>
                <w:rStyle w:val="Lienhypertexte"/>
                <w:b/>
                <w:noProof/>
                <w:sz w:val="28"/>
              </w:rPr>
              <w:t>Autres thématiques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_Toc433121287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28</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88" w:history="1">
            <w:r w:rsidR="003912B7" w:rsidRPr="006E7E3C">
              <w:rPr>
                <w:rStyle w:val="Lienhypertexte"/>
                <w:noProof/>
                <w:sz w:val="24"/>
              </w:rPr>
              <w:t>Accès à la culture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_Toc433121288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28</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89" w:history="1">
            <w:r w:rsidR="003912B7" w:rsidRPr="006E7E3C">
              <w:rPr>
                <w:rStyle w:val="Lienhypertexte"/>
                <w:noProof/>
                <w:sz w:val="24"/>
              </w:rPr>
              <w:t>Accessibilité</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_Toc433121289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28</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0" w:history="1">
            <w:r w:rsidR="003912B7" w:rsidRPr="006E7E3C">
              <w:rPr>
                <w:rStyle w:val="Lienhypertexte"/>
                <w:noProof/>
                <w:sz w:val="24"/>
              </w:rPr>
              <w:t>Aides techniques</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_Toc433121290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29</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1" w:history="1">
            <w:r w:rsidR="003912B7" w:rsidRPr="006E7E3C">
              <w:rPr>
                <w:rStyle w:val="Lienhypertexte"/>
                <w:noProof/>
                <w:sz w:val="24"/>
                <w:lang w:val="en-US"/>
              </w:rPr>
              <w:t>Capacité juridique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_Toc433121291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29</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2" w:history="1">
            <w:r w:rsidR="003912B7" w:rsidRPr="006E7E3C">
              <w:rPr>
                <w:rStyle w:val="Lienhypertexte"/>
                <w:noProof/>
                <w:sz w:val="24"/>
              </w:rPr>
              <w:t>Compensation du handicap</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_Toc433121292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29</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3" w:history="1">
            <w:r w:rsidR="003912B7" w:rsidRPr="006E7E3C">
              <w:rPr>
                <w:rStyle w:val="Lienhypertexte"/>
                <w:noProof/>
                <w:sz w:val="24"/>
              </w:rPr>
              <w:t>Définition du handicap</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_Toc433121293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30</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4" w:history="1">
            <w:r w:rsidR="003912B7" w:rsidRPr="006E7E3C">
              <w:rPr>
                <w:rStyle w:val="Lienhypertexte"/>
                <w:noProof/>
                <w:sz w:val="24"/>
                <w:lang w:val="en-US"/>
              </w:rPr>
              <w:t>Désinstitutionnalisation</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_Toc433121294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30</w:t>
            </w:r>
            <w:r w:rsidR="003912B7" w:rsidRPr="006E7E3C">
              <w:rPr>
                <w:noProof/>
                <w:webHidden/>
                <w:sz w:val="24"/>
              </w:rPr>
              <w:fldChar w:fldCharType="end"/>
            </w:r>
          </w:hyperlink>
        </w:p>
        <w:p w:rsidR="003912B7" w:rsidRPr="006E7E3C" w:rsidRDefault="00661D5B">
          <w:pPr>
            <w:pStyle w:val="TM2"/>
            <w:tabs>
              <w:tab w:val="right" w:leader="dot" w:pos="9062"/>
            </w:tabs>
            <w:rPr>
              <w:rFonts w:eastAsiaTheme="minorEastAsia"/>
              <w:noProof/>
              <w:sz w:val="24"/>
              <w:lang w:eastAsia="fr-FR"/>
            </w:rPr>
          </w:pPr>
          <w:hyperlink w:anchor="_Toc433121295" w:history="1">
            <w:r w:rsidR="003912B7" w:rsidRPr="006E7E3C">
              <w:rPr>
                <w:rStyle w:val="Lienhypertexte"/>
                <w:noProof/>
                <w:sz w:val="24"/>
              </w:rPr>
              <w:t>Genre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_Toc433121295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30</w:t>
            </w:r>
            <w:r w:rsidR="003912B7" w:rsidRPr="006E7E3C">
              <w:rPr>
                <w:noProof/>
                <w:webHidden/>
                <w:sz w:val="24"/>
              </w:rPr>
              <w:fldChar w:fldCharType="end"/>
            </w:r>
          </w:hyperlink>
        </w:p>
        <w:p w:rsidR="003912B7" w:rsidRDefault="00661D5B">
          <w:pPr>
            <w:pStyle w:val="TM2"/>
            <w:tabs>
              <w:tab w:val="right" w:leader="dot" w:pos="9062"/>
            </w:tabs>
            <w:rPr>
              <w:rFonts w:eastAsiaTheme="minorEastAsia"/>
              <w:noProof/>
              <w:lang w:eastAsia="fr-FR"/>
            </w:rPr>
          </w:pPr>
          <w:hyperlink w:anchor="_Toc433121296" w:history="1">
            <w:r w:rsidR="003912B7" w:rsidRPr="006E7E3C">
              <w:rPr>
                <w:rStyle w:val="Lienhypertexte"/>
                <w:noProof/>
                <w:sz w:val="24"/>
              </w:rPr>
              <w:t>Participation politique</w:t>
            </w:r>
            <w:r w:rsidR="003912B7" w:rsidRPr="006E7E3C">
              <w:rPr>
                <w:noProof/>
                <w:webHidden/>
                <w:sz w:val="24"/>
              </w:rPr>
              <w:tab/>
            </w:r>
            <w:r w:rsidR="003912B7" w:rsidRPr="006E7E3C">
              <w:rPr>
                <w:noProof/>
                <w:webHidden/>
                <w:sz w:val="24"/>
              </w:rPr>
              <w:fldChar w:fldCharType="begin"/>
            </w:r>
            <w:r w:rsidR="003912B7" w:rsidRPr="006E7E3C">
              <w:rPr>
                <w:noProof/>
                <w:webHidden/>
                <w:sz w:val="24"/>
              </w:rPr>
              <w:instrText xml:space="preserve"> PAGEREF _Toc433121296 \h </w:instrText>
            </w:r>
            <w:r w:rsidR="003912B7" w:rsidRPr="006E7E3C">
              <w:rPr>
                <w:noProof/>
                <w:webHidden/>
                <w:sz w:val="24"/>
              </w:rPr>
            </w:r>
            <w:r w:rsidR="003912B7" w:rsidRPr="006E7E3C">
              <w:rPr>
                <w:noProof/>
                <w:webHidden/>
                <w:sz w:val="24"/>
              </w:rPr>
              <w:fldChar w:fldCharType="separate"/>
            </w:r>
            <w:r w:rsidR="003912B7" w:rsidRPr="006E7E3C">
              <w:rPr>
                <w:noProof/>
                <w:webHidden/>
                <w:sz w:val="24"/>
              </w:rPr>
              <w:t>31</w:t>
            </w:r>
            <w:r w:rsidR="003912B7" w:rsidRPr="006E7E3C">
              <w:rPr>
                <w:noProof/>
                <w:webHidden/>
                <w:sz w:val="24"/>
              </w:rPr>
              <w:fldChar w:fldCharType="end"/>
            </w:r>
          </w:hyperlink>
        </w:p>
        <w:p w:rsidR="00356F83" w:rsidRPr="001346E5" w:rsidRDefault="00356F83">
          <w:pPr>
            <w:rPr>
              <w:sz w:val="24"/>
            </w:rPr>
          </w:pPr>
          <w:r w:rsidRPr="001346E5">
            <w:rPr>
              <w:b/>
              <w:bCs/>
              <w:sz w:val="24"/>
            </w:rPr>
            <w:fldChar w:fldCharType="end"/>
          </w:r>
        </w:p>
      </w:sdtContent>
    </w:sdt>
    <w:p w:rsidR="00606B0E" w:rsidRPr="00F601CE" w:rsidRDefault="00606B0E" w:rsidP="00F601CE">
      <w:pPr>
        <w:rPr>
          <w:sz w:val="24"/>
          <w:szCs w:val="24"/>
        </w:rPr>
      </w:pPr>
      <w:r w:rsidRPr="00F601CE">
        <w:rPr>
          <w:sz w:val="24"/>
          <w:szCs w:val="24"/>
        </w:rPr>
        <w:br w:type="page"/>
      </w:r>
    </w:p>
    <w:p w:rsidR="008029B1" w:rsidRPr="00F601CE" w:rsidRDefault="00F601CE" w:rsidP="00356F83">
      <w:pPr>
        <w:pStyle w:val="Titre1"/>
      </w:pPr>
      <w:bookmarkStart w:id="1" w:name="_Toc433121262"/>
      <w:r w:rsidRPr="00356F83">
        <w:lastRenderedPageBreak/>
        <w:t>Introduction</w:t>
      </w:r>
      <w:bookmarkEnd w:id="1"/>
    </w:p>
    <w:p w:rsidR="00F601CE" w:rsidRPr="00F601CE" w:rsidRDefault="00F601CE" w:rsidP="00F601CE">
      <w:pPr>
        <w:rPr>
          <w:sz w:val="24"/>
          <w:szCs w:val="24"/>
        </w:rPr>
      </w:pPr>
    </w:p>
    <w:p w:rsidR="002870F5" w:rsidRDefault="002870F5" w:rsidP="00F601CE">
      <w:pPr>
        <w:rPr>
          <w:sz w:val="24"/>
          <w:szCs w:val="24"/>
        </w:rPr>
      </w:pPr>
      <w:r>
        <w:rPr>
          <w:sz w:val="24"/>
          <w:szCs w:val="24"/>
        </w:rPr>
        <w:t>Cette revue de littérature a été réalisée dans le cadre d’un partenariat entre le CFHE (Conseil Français des personnes Handicapées p</w:t>
      </w:r>
      <w:r w:rsidR="0029199F">
        <w:rPr>
          <w:sz w:val="24"/>
          <w:szCs w:val="24"/>
        </w:rPr>
        <w:t xml:space="preserve">our les questions Européennes) </w:t>
      </w:r>
      <w:r>
        <w:rPr>
          <w:sz w:val="24"/>
          <w:szCs w:val="24"/>
        </w:rPr>
        <w:t>et le Centre Ressources Reche</w:t>
      </w:r>
      <w:r w:rsidR="0029199F">
        <w:rPr>
          <w:sz w:val="24"/>
          <w:szCs w:val="24"/>
        </w:rPr>
        <w:t>rche Appliquée et Handicap coordonné par</w:t>
      </w:r>
      <w:r w:rsidR="0029199F" w:rsidRPr="0029199F">
        <w:rPr>
          <w:sz w:val="24"/>
          <w:szCs w:val="24"/>
        </w:rPr>
        <w:t xml:space="preserve"> </w:t>
      </w:r>
      <w:r w:rsidR="0029199F">
        <w:rPr>
          <w:sz w:val="24"/>
          <w:szCs w:val="24"/>
        </w:rPr>
        <w:t xml:space="preserve">la FIRAH (Fondation Internationale de la Recherche Appliquée sur le Handicap). </w:t>
      </w:r>
    </w:p>
    <w:p w:rsidR="002870F5" w:rsidRDefault="002870F5" w:rsidP="00F601CE">
      <w:pPr>
        <w:rPr>
          <w:sz w:val="24"/>
          <w:szCs w:val="24"/>
        </w:rPr>
      </w:pPr>
    </w:p>
    <w:p w:rsidR="00A20169" w:rsidRDefault="002870F5" w:rsidP="00F601CE">
      <w:pPr>
        <w:rPr>
          <w:sz w:val="24"/>
          <w:szCs w:val="24"/>
        </w:rPr>
      </w:pPr>
      <w:r>
        <w:rPr>
          <w:sz w:val="24"/>
          <w:szCs w:val="24"/>
        </w:rPr>
        <w:t xml:space="preserve">Son objectif est d’identifier des ressources pouvant être utiles </w:t>
      </w:r>
      <w:r w:rsidR="00A20169">
        <w:rPr>
          <w:sz w:val="24"/>
          <w:szCs w:val="24"/>
        </w:rPr>
        <w:t>aux acteurs de terrain concernant les politiques européennes. Ce travail ne vise pas l’exhaustivité, mais l’identification de résultats et de connaissances produits par ces ressources, pour améliorer la qualité de vie et la participation sociale des personnes handicapées.</w:t>
      </w:r>
    </w:p>
    <w:p w:rsidR="006C7137" w:rsidRDefault="006C7137" w:rsidP="00F601CE">
      <w:pPr>
        <w:rPr>
          <w:sz w:val="24"/>
          <w:szCs w:val="24"/>
        </w:rPr>
      </w:pPr>
    </w:p>
    <w:p w:rsidR="006C7137" w:rsidRDefault="006C7137" w:rsidP="00F601CE">
      <w:pPr>
        <w:rPr>
          <w:sz w:val="24"/>
          <w:szCs w:val="24"/>
        </w:rPr>
      </w:pPr>
      <w:r>
        <w:rPr>
          <w:sz w:val="24"/>
          <w:szCs w:val="24"/>
        </w:rPr>
        <w:t xml:space="preserve">Cette revue de littérature concerne </w:t>
      </w:r>
      <w:r w:rsidR="005B5D64">
        <w:rPr>
          <w:sz w:val="24"/>
          <w:szCs w:val="24"/>
        </w:rPr>
        <w:t>principalement l’éducation et l’emploi</w:t>
      </w:r>
      <w:r>
        <w:rPr>
          <w:sz w:val="24"/>
          <w:szCs w:val="24"/>
        </w:rPr>
        <w:t xml:space="preserve">, </w:t>
      </w:r>
      <w:r w:rsidR="005B5D64">
        <w:rPr>
          <w:sz w:val="24"/>
          <w:szCs w:val="24"/>
        </w:rPr>
        <w:t>mais aborde aussi d’autres thématiques : définition du handicap, accessibilité, compensation, désinstitutionnalisation, capacité juridique et participation politique, aides techniques et accès à la culture.</w:t>
      </w:r>
    </w:p>
    <w:p w:rsidR="00A20169" w:rsidRDefault="00A20169" w:rsidP="00F601CE">
      <w:pPr>
        <w:rPr>
          <w:sz w:val="24"/>
          <w:szCs w:val="24"/>
        </w:rPr>
      </w:pPr>
    </w:p>
    <w:p w:rsidR="00B40C36" w:rsidRDefault="00B40C36" w:rsidP="00F601CE">
      <w:pPr>
        <w:rPr>
          <w:sz w:val="24"/>
          <w:szCs w:val="24"/>
        </w:rPr>
      </w:pPr>
      <w:r>
        <w:rPr>
          <w:sz w:val="24"/>
          <w:szCs w:val="24"/>
        </w:rPr>
        <w:t>Les documents présentés ont été sélectionnés en fonction des critères définis par les différents partenaires impliqués</w:t>
      </w:r>
      <w:r w:rsidR="006C7137">
        <w:rPr>
          <w:sz w:val="24"/>
          <w:szCs w:val="24"/>
        </w:rPr>
        <w:t>. Ces critères sont les suivants :</w:t>
      </w:r>
    </w:p>
    <w:p w:rsidR="00B40C36" w:rsidRDefault="006C7137" w:rsidP="006C7137">
      <w:pPr>
        <w:pStyle w:val="Paragraphedeliste"/>
        <w:numPr>
          <w:ilvl w:val="0"/>
          <w:numId w:val="19"/>
        </w:numPr>
        <w:rPr>
          <w:sz w:val="24"/>
          <w:szCs w:val="24"/>
        </w:rPr>
      </w:pPr>
      <w:r>
        <w:rPr>
          <w:sz w:val="24"/>
          <w:szCs w:val="24"/>
        </w:rPr>
        <w:t>La collaboration entre des chercheurs (ou des organismes de recherche) et des acteurs de ter</w:t>
      </w:r>
      <w:r w:rsidR="008166D6">
        <w:rPr>
          <w:sz w:val="24"/>
          <w:szCs w:val="24"/>
        </w:rPr>
        <w:t>rain</w:t>
      </w:r>
      <w:r>
        <w:rPr>
          <w:sz w:val="24"/>
          <w:szCs w:val="24"/>
        </w:rPr>
        <w:t xml:space="preserve">, organisations ou institutions ; </w:t>
      </w:r>
    </w:p>
    <w:p w:rsidR="006C7137" w:rsidRDefault="006C7137" w:rsidP="006C7137">
      <w:pPr>
        <w:pStyle w:val="Paragraphedeliste"/>
        <w:numPr>
          <w:ilvl w:val="0"/>
          <w:numId w:val="19"/>
        </w:numPr>
        <w:rPr>
          <w:sz w:val="24"/>
          <w:szCs w:val="24"/>
        </w:rPr>
      </w:pPr>
      <w:r>
        <w:rPr>
          <w:sz w:val="24"/>
          <w:szCs w:val="24"/>
        </w:rPr>
        <w:t>Le respect des principes de la Convention Internationale relative aux Droits des Personnes Handicapées</w:t>
      </w:r>
      <w:r w:rsidR="009D2EA9">
        <w:rPr>
          <w:sz w:val="24"/>
          <w:szCs w:val="24"/>
        </w:rPr>
        <w:t xml:space="preserve"> (C</w:t>
      </w:r>
      <w:r w:rsidR="00C12662">
        <w:rPr>
          <w:sz w:val="24"/>
          <w:szCs w:val="24"/>
        </w:rPr>
        <w:t>I</w:t>
      </w:r>
      <w:r w:rsidR="009D2EA9">
        <w:rPr>
          <w:sz w:val="24"/>
          <w:szCs w:val="24"/>
        </w:rPr>
        <w:t>DPH)</w:t>
      </w:r>
      <w:r>
        <w:rPr>
          <w:sz w:val="24"/>
          <w:szCs w:val="24"/>
        </w:rPr>
        <w:t> ;</w:t>
      </w:r>
    </w:p>
    <w:p w:rsidR="006C7137" w:rsidRDefault="00E64B42" w:rsidP="006C7137">
      <w:pPr>
        <w:pStyle w:val="Paragraphedeliste"/>
        <w:numPr>
          <w:ilvl w:val="0"/>
          <w:numId w:val="19"/>
        </w:numPr>
        <w:rPr>
          <w:sz w:val="24"/>
          <w:szCs w:val="24"/>
        </w:rPr>
      </w:pPr>
      <w:r>
        <w:rPr>
          <w:sz w:val="24"/>
          <w:szCs w:val="24"/>
        </w:rPr>
        <w:t>U</w:t>
      </w:r>
      <w:r w:rsidR="006C7137">
        <w:rPr>
          <w:sz w:val="24"/>
          <w:szCs w:val="24"/>
        </w:rPr>
        <w:t>ne méthodologie rigoureuse ;</w:t>
      </w:r>
    </w:p>
    <w:p w:rsidR="006C7137" w:rsidRDefault="00B832C9" w:rsidP="006C7137">
      <w:pPr>
        <w:pStyle w:val="Paragraphedeliste"/>
        <w:numPr>
          <w:ilvl w:val="0"/>
          <w:numId w:val="19"/>
        </w:numPr>
        <w:rPr>
          <w:sz w:val="24"/>
          <w:szCs w:val="24"/>
        </w:rPr>
      </w:pPr>
      <w:r>
        <w:rPr>
          <w:sz w:val="24"/>
          <w:szCs w:val="24"/>
        </w:rPr>
        <w:t>La présentation</w:t>
      </w:r>
      <w:r w:rsidR="006C7137">
        <w:rPr>
          <w:sz w:val="24"/>
          <w:szCs w:val="24"/>
        </w:rPr>
        <w:t xml:space="preserve"> </w:t>
      </w:r>
      <w:r>
        <w:rPr>
          <w:sz w:val="24"/>
          <w:szCs w:val="24"/>
        </w:rPr>
        <w:t>de</w:t>
      </w:r>
      <w:r w:rsidR="006C7137">
        <w:rPr>
          <w:sz w:val="24"/>
          <w:szCs w:val="24"/>
        </w:rPr>
        <w:t xml:space="preserve"> conclusions directement utiles ou utilisables par les acteurs de terrain ;</w:t>
      </w:r>
    </w:p>
    <w:p w:rsidR="006C7137" w:rsidRPr="006C7137" w:rsidRDefault="00B832C9" w:rsidP="006C7137">
      <w:pPr>
        <w:pStyle w:val="Paragraphedeliste"/>
        <w:numPr>
          <w:ilvl w:val="0"/>
          <w:numId w:val="19"/>
        </w:numPr>
        <w:rPr>
          <w:sz w:val="24"/>
          <w:szCs w:val="24"/>
        </w:rPr>
      </w:pPr>
      <w:r>
        <w:rPr>
          <w:sz w:val="24"/>
          <w:szCs w:val="24"/>
        </w:rPr>
        <w:t>L’établissement d’</w:t>
      </w:r>
      <w:r w:rsidR="006C7137">
        <w:rPr>
          <w:sz w:val="24"/>
          <w:szCs w:val="24"/>
        </w:rPr>
        <w:t>une comparaison entre plusieurs pays européens</w:t>
      </w:r>
      <w:r>
        <w:rPr>
          <w:sz w:val="24"/>
          <w:szCs w:val="24"/>
        </w:rPr>
        <w:t xml:space="preserve"> dans de contenu-même du document</w:t>
      </w:r>
      <w:r w:rsidR="006C7137">
        <w:rPr>
          <w:sz w:val="24"/>
          <w:szCs w:val="24"/>
        </w:rPr>
        <w:t>.</w:t>
      </w:r>
    </w:p>
    <w:p w:rsidR="008B1F82" w:rsidRDefault="008B1F82" w:rsidP="00B40C36">
      <w:pPr>
        <w:rPr>
          <w:sz w:val="24"/>
          <w:szCs w:val="24"/>
        </w:rPr>
      </w:pPr>
    </w:p>
    <w:p w:rsidR="005B5D64" w:rsidRDefault="008166D6" w:rsidP="00B40C36">
      <w:pPr>
        <w:rPr>
          <w:sz w:val="24"/>
          <w:szCs w:val="24"/>
        </w:rPr>
      </w:pPr>
      <w:r>
        <w:rPr>
          <w:sz w:val="24"/>
          <w:szCs w:val="24"/>
        </w:rPr>
        <w:t>Pour</w:t>
      </w:r>
      <w:r w:rsidR="008B1F82">
        <w:rPr>
          <w:sz w:val="24"/>
          <w:szCs w:val="24"/>
        </w:rPr>
        <w:t xml:space="preserve"> chacune des thématiques développées, l</w:t>
      </w:r>
      <w:r w:rsidR="006C7137">
        <w:rPr>
          <w:sz w:val="24"/>
          <w:szCs w:val="24"/>
        </w:rPr>
        <w:t xml:space="preserve">es documents correspondant le plus </w:t>
      </w:r>
      <w:r w:rsidR="008B1F82">
        <w:rPr>
          <w:sz w:val="24"/>
          <w:szCs w:val="24"/>
        </w:rPr>
        <w:t>à ces critères ont fait l’objet d’une fiche de lecture.</w:t>
      </w:r>
    </w:p>
    <w:p w:rsidR="005B5D64" w:rsidRDefault="005B5D64" w:rsidP="00B40C36">
      <w:pPr>
        <w:rPr>
          <w:sz w:val="24"/>
          <w:szCs w:val="24"/>
        </w:rPr>
      </w:pPr>
    </w:p>
    <w:p w:rsidR="005B5D64" w:rsidRDefault="005B5D64" w:rsidP="00B40C36">
      <w:pPr>
        <w:rPr>
          <w:sz w:val="24"/>
          <w:szCs w:val="24"/>
        </w:rPr>
      </w:pPr>
      <w:r>
        <w:rPr>
          <w:sz w:val="24"/>
          <w:szCs w:val="24"/>
        </w:rPr>
        <w:t xml:space="preserve">Le CFHE et la FIRAH continueront leur collaboration pour réaliser un travail de veille et identifier de nouvelles études et recherches comparatives européennes. Malgré toute l’attention que nous portons à identifier ces ressources, </w:t>
      </w:r>
      <w:r w:rsidR="00C12662">
        <w:rPr>
          <w:sz w:val="24"/>
          <w:szCs w:val="24"/>
        </w:rPr>
        <w:t>vous pouvez également</w:t>
      </w:r>
      <w:r>
        <w:rPr>
          <w:sz w:val="24"/>
          <w:szCs w:val="24"/>
        </w:rPr>
        <w:t xml:space="preserve"> nous faire part de recherches ou études qui vous sembleraient pertinentes à l’adresse : </w:t>
      </w:r>
      <w:hyperlink r:id="rId16" w:history="1">
        <w:r w:rsidR="00543736" w:rsidRPr="00DD3AD1">
          <w:rPr>
            <w:rStyle w:val="Lienhypertexte"/>
            <w:sz w:val="24"/>
            <w:szCs w:val="24"/>
          </w:rPr>
          <w:t>cecile.vallee@firah.org</w:t>
        </w:r>
      </w:hyperlink>
      <w:r w:rsidR="00543736">
        <w:rPr>
          <w:sz w:val="24"/>
          <w:szCs w:val="24"/>
        </w:rPr>
        <w:t>.</w:t>
      </w:r>
    </w:p>
    <w:p w:rsidR="005B5D64" w:rsidRDefault="005B5D64" w:rsidP="00B40C36">
      <w:pPr>
        <w:rPr>
          <w:sz w:val="24"/>
          <w:szCs w:val="24"/>
        </w:rPr>
      </w:pPr>
    </w:p>
    <w:p w:rsidR="003E1710" w:rsidRDefault="003E1710" w:rsidP="00B40C36">
      <w:pPr>
        <w:rPr>
          <w:sz w:val="24"/>
          <w:szCs w:val="24"/>
        </w:rPr>
      </w:pPr>
      <w:r>
        <w:rPr>
          <w:sz w:val="24"/>
          <w:szCs w:val="24"/>
        </w:rPr>
        <w:t>Ce document peut être diffusé librement en indiquant sa source, et en mentionnant les différents partenaires impliqués.</w:t>
      </w:r>
    </w:p>
    <w:p w:rsidR="00F601CE" w:rsidRPr="00B40C36" w:rsidRDefault="003E1710" w:rsidP="00B40C36">
      <w:pPr>
        <w:rPr>
          <w:sz w:val="24"/>
          <w:szCs w:val="24"/>
        </w:rPr>
      </w:pPr>
      <w:r>
        <w:rPr>
          <w:sz w:val="24"/>
          <w:szCs w:val="24"/>
        </w:rPr>
        <w:t>NB : Pour des raisons d’accessibilité, le texte n’est pas justifié.</w:t>
      </w:r>
      <w:r w:rsidR="00F601CE" w:rsidRPr="00B40C36">
        <w:rPr>
          <w:sz w:val="24"/>
          <w:szCs w:val="24"/>
        </w:rPr>
        <w:br w:type="page"/>
      </w:r>
    </w:p>
    <w:p w:rsidR="00F601CE" w:rsidRPr="00356F83" w:rsidRDefault="00F601CE" w:rsidP="00356F83">
      <w:pPr>
        <w:pStyle w:val="Titre1"/>
      </w:pPr>
      <w:bookmarkStart w:id="2" w:name="_Toc433121263"/>
      <w:r w:rsidRPr="00356F83">
        <w:lastRenderedPageBreak/>
        <w:t>Education</w:t>
      </w:r>
      <w:bookmarkEnd w:id="2"/>
    </w:p>
    <w:p w:rsidR="009048CE" w:rsidRDefault="009048CE" w:rsidP="00B20802">
      <w:pPr>
        <w:spacing w:line="720" w:lineRule="auto"/>
        <w:rPr>
          <w:sz w:val="24"/>
          <w:szCs w:val="24"/>
        </w:rPr>
      </w:pPr>
    </w:p>
    <w:p w:rsidR="009D2EA9" w:rsidRPr="009D2EA9" w:rsidRDefault="009D2EA9" w:rsidP="00C020B3">
      <w:pPr>
        <w:pStyle w:val="Citationintense"/>
        <w:spacing w:before="0" w:after="0"/>
        <w:rPr>
          <w:b w:val="0"/>
          <w:i w:val="0"/>
          <w:color w:val="auto"/>
          <w:sz w:val="24"/>
          <w:szCs w:val="24"/>
        </w:rPr>
      </w:pPr>
      <w:r w:rsidRPr="009D2EA9">
        <w:rPr>
          <w:b w:val="0"/>
          <w:i w:val="0"/>
          <w:color w:val="auto"/>
          <w:sz w:val="24"/>
          <w:szCs w:val="24"/>
        </w:rPr>
        <w:t>« Les États Parties reconnaissent le droit des personnes handicapées à l’éducation. En vue d’assurer l’exercice de ce droit sans discrimination et sur la base de l’égalité des chances, les États Parties font en sorte que le système éducatif pourvoie à l’insertion scolaire à tous les niveaux et offre, tout au long de la vie, des possibilités d’éducation […]</w:t>
      </w:r>
      <w:r w:rsidRPr="009D2EA9">
        <w:rPr>
          <w:rStyle w:val="Appelnotedebasdep"/>
          <w:b w:val="0"/>
          <w:i w:val="0"/>
          <w:color w:val="auto"/>
          <w:sz w:val="24"/>
          <w:szCs w:val="24"/>
        </w:rPr>
        <w:footnoteReference w:id="2"/>
      </w:r>
      <w:r w:rsidRPr="009D2EA9">
        <w:rPr>
          <w:b w:val="0"/>
          <w:i w:val="0"/>
          <w:color w:val="auto"/>
          <w:sz w:val="24"/>
          <w:szCs w:val="24"/>
        </w:rPr>
        <w:t xml:space="preserve">» </w:t>
      </w:r>
      <w:r w:rsidR="00C020B3">
        <w:rPr>
          <w:b w:val="0"/>
          <w:i w:val="0"/>
          <w:color w:val="auto"/>
          <w:sz w:val="24"/>
          <w:szCs w:val="24"/>
        </w:rPr>
        <w:t>(Article 24 de la Convention Internationale relative aux Droits des Personnes Handicapées).</w:t>
      </w:r>
    </w:p>
    <w:p w:rsidR="009F21FB" w:rsidRDefault="009F21FB" w:rsidP="00B20802">
      <w:pPr>
        <w:spacing w:line="720" w:lineRule="auto"/>
        <w:rPr>
          <w:sz w:val="24"/>
          <w:szCs w:val="24"/>
        </w:rPr>
      </w:pPr>
    </w:p>
    <w:p w:rsidR="004947BE" w:rsidRDefault="004947BE" w:rsidP="009F21FB">
      <w:pPr>
        <w:pStyle w:val="Titre2"/>
        <w:pBdr>
          <w:left w:val="single" w:sz="4" w:space="4" w:color="auto"/>
          <w:bottom w:val="single" w:sz="4" w:space="1" w:color="auto"/>
        </w:pBdr>
        <w:jc w:val="center"/>
      </w:pPr>
      <w:bookmarkStart w:id="3" w:name="_Toc433121264"/>
      <w:r>
        <w:t>Présentation des documents</w:t>
      </w:r>
      <w:bookmarkEnd w:id="3"/>
    </w:p>
    <w:p w:rsidR="004947BE" w:rsidRDefault="004947BE" w:rsidP="00C325F6">
      <w:pPr>
        <w:rPr>
          <w:sz w:val="24"/>
          <w:szCs w:val="24"/>
        </w:rPr>
      </w:pPr>
    </w:p>
    <w:p w:rsidR="009D2EA9" w:rsidRDefault="007A790B" w:rsidP="00C325F6">
      <w:pPr>
        <w:rPr>
          <w:sz w:val="24"/>
          <w:szCs w:val="24"/>
        </w:rPr>
      </w:pPr>
      <w:r>
        <w:rPr>
          <w:sz w:val="24"/>
          <w:szCs w:val="24"/>
        </w:rPr>
        <w:t xml:space="preserve">Les documents étudiés pour la synthèse ont été élaborés par différents organismes français et internationaux. </w:t>
      </w:r>
    </w:p>
    <w:p w:rsidR="007E5FA1" w:rsidRDefault="007E5FA1" w:rsidP="00C325F6">
      <w:pPr>
        <w:rPr>
          <w:sz w:val="24"/>
          <w:szCs w:val="24"/>
        </w:rPr>
      </w:pPr>
    </w:p>
    <w:p w:rsidR="007E5FA1" w:rsidRPr="007E5FA1" w:rsidRDefault="007E5FA1" w:rsidP="007E5FA1">
      <w:pPr>
        <w:rPr>
          <w:sz w:val="24"/>
          <w:szCs w:val="24"/>
        </w:rPr>
      </w:pPr>
      <w:r w:rsidRPr="007E5FA1">
        <w:rPr>
          <w:sz w:val="24"/>
          <w:szCs w:val="24"/>
        </w:rPr>
        <w:t>« </w:t>
      </w:r>
      <w:r w:rsidRPr="007E5FA1">
        <w:rPr>
          <w:b/>
          <w:sz w:val="24"/>
          <w:szCs w:val="24"/>
        </w:rPr>
        <w:t>La scolarisation des enfants en situation de handicap en Europe</w:t>
      </w:r>
      <w:r w:rsidRPr="007E5FA1">
        <w:rPr>
          <w:rStyle w:val="Appelnotedebasdep"/>
          <w:sz w:val="24"/>
          <w:szCs w:val="24"/>
        </w:rPr>
        <w:footnoteReference w:id="3"/>
      </w:r>
      <w:r w:rsidRPr="007E5FA1">
        <w:rPr>
          <w:sz w:val="24"/>
          <w:szCs w:val="24"/>
        </w:rPr>
        <w:t xml:space="preserve"> » (Fiche 1) est une synthèse documentaire réalisée par le Centre de Ressources et d’Ingénierie Documentaire. Il traite de la scolarisation des enfants en situation de handicap dans des pays européens choisis pour leurs particularités en termes de pratiques.</w:t>
      </w:r>
    </w:p>
    <w:p w:rsidR="007A790B" w:rsidRDefault="007A790B" w:rsidP="00C325F6">
      <w:pPr>
        <w:rPr>
          <w:sz w:val="24"/>
          <w:szCs w:val="24"/>
        </w:rPr>
      </w:pPr>
    </w:p>
    <w:p w:rsidR="007A790B" w:rsidRDefault="007A790B" w:rsidP="00C325F6">
      <w:pPr>
        <w:rPr>
          <w:sz w:val="24"/>
          <w:szCs w:val="24"/>
        </w:rPr>
      </w:pPr>
      <w:r w:rsidRPr="00E64B42">
        <w:rPr>
          <w:sz w:val="24"/>
          <w:szCs w:val="24"/>
        </w:rPr>
        <w:t>En France, le Centre d’Analyse stratégique auprès du Premier Ministre a travaillé sur le sujet de la scolarisation des enfants en situation de handicap et émis des propositions applicables au niveau national dans le rapport « </w:t>
      </w:r>
      <w:r w:rsidRPr="007E5FA1">
        <w:rPr>
          <w:b/>
          <w:sz w:val="24"/>
          <w:szCs w:val="24"/>
        </w:rPr>
        <w:t xml:space="preserve">La scolarisation des enfants en situation de handicap </w:t>
      </w:r>
      <w:r w:rsidR="00186D77" w:rsidRPr="007E5FA1">
        <w:rPr>
          <w:b/>
          <w:sz w:val="24"/>
          <w:szCs w:val="24"/>
        </w:rPr>
        <w:t>dans les pays européens : q</w:t>
      </w:r>
      <w:r w:rsidR="007E5FA1" w:rsidRPr="007E5FA1">
        <w:rPr>
          <w:b/>
          <w:sz w:val="24"/>
          <w:szCs w:val="24"/>
        </w:rPr>
        <w:t>uelles voies</w:t>
      </w:r>
      <w:r w:rsidR="007F6E28" w:rsidRPr="007E5FA1">
        <w:rPr>
          <w:b/>
          <w:sz w:val="24"/>
          <w:szCs w:val="24"/>
        </w:rPr>
        <w:t xml:space="preserve"> de réforme pour la France ?</w:t>
      </w:r>
      <w:r w:rsidR="007E5FA1">
        <w:rPr>
          <w:rStyle w:val="Appelnotedebasdep"/>
          <w:b/>
          <w:sz w:val="24"/>
          <w:szCs w:val="24"/>
        </w:rPr>
        <w:footnoteReference w:id="4"/>
      </w:r>
      <w:r w:rsidR="007E5FA1">
        <w:rPr>
          <w:sz w:val="24"/>
          <w:szCs w:val="24"/>
        </w:rPr>
        <w:t> » (Fiche 2)</w:t>
      </w:r>
      <w:r w:rsidRPr="00E64B42">
        <w:rPr>
          <w:sz w:val="24"/>
          <w:szCs w:val="24"/>
        </w:rPr>
        <w:t>. Ce rap</w:t>
      </w:r>
      <w:r w:rsidR="008F2138" w:rsidRPr="00E64B42">
        <w:rPr>
          <w:sz w:val="24"/>
          <w:szCs w:val="24"/>
        </w:rPr>
        <w:t xml:space="preserve">port a été élaboré à partir des dispositifs en place dans différents pays européens. </w:t>
      </w:r>
      <w:r w:rsidR="00186D77">
        <w:rPr>
          <w:sz w:val="24"/>
          <w:szCs w:val="24"/>
        </w:rPr>
        <w:t>Plusieurs</w:t>
      </w:r>
      <w:r w:rsidR="008F2138" w:rsidRPr="00E64B42">
        <w:rPr>
          <w:sz w:val="24"/>
          <w:szCs w:val="24"/>
        </w:rPr>
        <w:t xml:space="preserve"> problématiques y sont abordées, tels que </w:t>
      </w:r>
      <w:r w:rsidR="00C12662">
        <w:rPr>
          <w:sz w:val="24"/>
          <w:szCs w:val="24"/>
        </w:rPr>
        <w:t xml:space="preserve">les </w:t>
      </w:r>
      <w:r w:rsidR="008F2138" w:rsidRPr="00E64B42">
        <w:rPr>
          <w:sz w:val="24"/>
          <w:szCs w:val="24"/>
        </w:rPr>
        <w:t>systèmes d’éducation spécialisée et les dispositifs d’accompagnement.</w:t>
      </w:r>
    </w:p>
    <w:p w:rsidR="007E5FA1" w:rsidRPr="00E64B42" w:rsidRDefault="007E5FA1" w:rsidP="00C325F6">
      <w:pPr>
        <w:rPr>
          <w:sz w:val="24"/>
          <w:szCs w:val="24"/>
        </w:rPr>
      </w:pPr>
    </w:p>
    <w:p w:rsidR="007E5FA1" w:rsidRPr="007E5FA1" w:rsidRDefault="007E5FA1" w:rsidP="007E5FA1">
      <w:pPr>
        <w:rPr>
          <w:sz w:val="24"/>
          <w:szCs w:val="24"/>
          <w:lang w:val="en-US"/>
        </w:rPr>
      </w:pPr>
      <w:proofErr w:type="spellStart"/>
      <w:r w:rsidRPr="003E1710">
        <w:rPr>
          <w:sz w:val="24"/>
          <w:szCs w:val="24"/>
          <w:lang w:val="en-US"/>
        </w:rPr>
        <w:lastRenderedPageBreak/>
        <w:t>Dans</w:t>
      </w:r>
      <w:proofErr w:type="spellEnd"/>
      <w:r w:rsidRPr="007E5FA1">
        <w:rPr>
          <w:sz w:val="24"/>
          <w:szCs w:val="24"/>
          <w:lang w:val="en-US"/>
        </w:rPr>
        <w:t xml:space="preserve"> son rapport « </w:t>
      </w:r>
      <w:r w:rsidRPr="007E5FA1">
        <w:rPr>
          <w:b/>
          <w:sz w:val="24"/>
          <w:szCs w:val="24"/>
          <w:lang w:val="en-US"/>
        </w:rPr>
        <w:t>Inclusive education for young disabled people in Europe: trends, issues and challenges</w:t>
      </w:r>
      <w:r>
        <w:rPr>
          <w:rStyle w:val="Appelnotedebasdep"/>
          <w:b/>
          <w:sz w:val="24"/>
          <w:szCs w:val="24"/>
          <w:lang w:val="en-US"/>
        </w:rPr>
        <w:footnoteReference w:id="5"/>
      </w:r>
      <w:r w:rsidRPr="007E5FA1">
        <w:rPr>
          <w:sz w:val="24"/>
          <w:szCs w:val="24"/>
          <w:lang w:val="en-US"/>
        </w:rPr>
        <w:t xml:space="preserve"> », </w:t>
      </w:r>
      <w:proofErr w:type="spellStart"/>
      <w:r w:rsidRPr="003E1710">
        <w:rPr>
          <w:sz w:val="24"/>
          <w:szCs w:val="24"/>
          <w:lang w:val="en-US"/>
        </w:rPr>
        <w:t>l’ANED</w:t>
      </w:r>
      <w:proofErr w:type="spellEnd"/>
      <w:r w:rsidRPr="003E1710">
        <w:rPr>
          <w:sz w:val="24"/>
          <w:szCs w:val="24"/>
          <w:lang w:val="en-US"/>
        </w:rPr>
        <w:t xml:space="preserve"> (</w:t>
      </w:r>
      <w:r w:rsidRPr="007E5FA1">
        <w:rPr>
          <w:sz w:val="24"/>
          <w:szCs w:val="24"/>
          <w:lang w:val="en-US"/>
        </w:rPr>
        <w:t>Academic Network of European Disability experts</w:t>
      </w:r>
      <w:r w:rsidR="005B2C40">
        <w:rPr>
          <w:sz w:val="24"/>
          <w:szCs w:val="24"/>
          <w:lang w:val="en-US"/>
        </w:rPr>
        <w:t xml:space="preserve">) a </w:t>
      </w:r>
      <w:proofErr w:type="spellStart"/>
      <w:r w:rsidR="005B2C40">
        <w:rPr>
          <w:sz w:val="24"/>
          <w:szCs w:val="24"/>
          <w:lang w:val="en-US"/>
        </w:rPr>
        <w:t>rassemblé</w:t>
      </w:r>
      <w:proofErr w:type="spellEnd"/>
      <w:r w:rsidR="005B2C40">
        <w:rPr>
          <w:sz w:val="24"/>
          <w:szCs w:val="24"/>
          <w:lang w:val="en-US"/>
        </w:rPr>
        <w:t xml:space="preserve"> de</w:t>
      </w:r>
      <w:r w:rsidRPr="003E1710">
        <w:rPr>
          <w:sz w:val="24"/>
          <w:szCs w:val="24"/>
          <w:lang w:val="en-US"/>
        </w:rPr>
        <w:t xml:space="preserve"> </w:t>
      </w:r>
      <w:proofErr w:type="spellStart"/>
      <w:r w:rsidRPr="003E1710">
        <w:rPr>
          <w:sz w:val="24"/>
          <w:szCs w:val="24"/>
          <w:lang w:val="en-US"/>
        </w:rPr>
        <w:t>nombreuses</w:t>
      </w:r>
      <w:proofErr w:type="spellEnd"/>
      <w:r w:rsidRPr="003E1710">
        <w:rPr>
          <w:sz w:val="24"/>
          <w:szCs w:val="24"/>
          <w:lang w:val="en-US"/>
        </w:rPr>
        <w:t xml:space="preserve"> </w:t>
      </w:r>
      <w:proofErr w:type="spellStart"/>
      <w:r w:rsidRPr="003E1710">
        <w:rPr>
          <w:sz w:val="24"/>
          <w:szCs w:val="24"/>
          <w:lang w:val="en-US"/>
        </w:rPr>
        <w:t>données</w:t>
      </w:r>
      <w:proofErr w:type="spellEnd"/>
      <w:r w:rsidRPr="003E1710">
        <w:rPr>
          <w:sz w:val="24"/>
          <w:szCs w:val="24"/>
          <w:lang w:val="en-US"/>
        </w:rPr>
        <w:t xml:space="preserve"> </w:t>
      </w:r>
      <w:proofErr w:type="spellStart"/>
      <w:r w:rsidRPr="003E1710">
        <w:rPr>
          <w:sz w:val="24"/>
          <w:szCs w:val="24"/>
          <w:lang w:val="en-US"/>
        </w:rPr>
        <w:t>chiffrées</w:t>
      </w:r>
      <w:proofErr w:type="spellEnd"/>
      <w:r w:rsidRPr="003E1710">
        <w:rPr>
          <w:sz w:val="24"/>
          <w:szCs w:val="24"/>
          <w:lang w:val="en-US"/>
        </w:rPr>
        <w:t>.</w:t>
      </w:r>
      <w:r w:rsidRPr="007E5FA1">
        <w:rPr>
          <w:sz w:val="24"/>
          <w:szCs w:val="24"/>
          <w:lang w:val="en-US"/>
        </w:rPr>
        <w:t xml:space="preserve"> </w:t>
      </w:r>
    </w:p>
    <w:p w:rsidR="009048CE" w:rsidRPr="007E5FA1" w:rsidRDefault="009048CE" w:rsidP="00C325F6">
      <w:pPr>
        <w:rPr>
          <w:sz w:val="24"/>
          <w:szCs w:val="24"/>
          <w:lang w:val="en-US"/>
        </w:rPr>
      </w:pPr>
    </w:p>
    <w:p w:rsidR="0030638D" w:rsidRDefault="007E5FA1" w:rsidP="0030638D">
      <w:pPr>
        <w:rPr>
          <w:sz w:val="24"/>
          <w:szCs w:val="24"/>
        </w:rPr>
      </w:pPr>
      <w:r>
        <w:rPr>
          <w:sz w:val="24"/>
          <w:szCs w:val="24"/>
        </w:rPr>
        <w:t>Enfin, d</w:t>
      </w:r>
      <w:r w:rsidR="008F2138" w:rsidRPr="00E64B42">
        <w:rPr>
          <w:sz w:val="24"/>
          <w:szCs w:val="24"/>
        </w:rPr>
        <w:t>ans « </w:t>
      </w:r>
      <w:r w:rsidR="008F2138" w:rsidRPr="009048CE">
        <w:rPr>
          <w:b/>
          <w:sz w:val="24"/>
          <w:szCs w:val="24"/>
        </w:rPr>
        <w:t xml:space="preserve">Education and </w:t>
      </w:r>
      <w:proofErr w:type="spellStart"/>
      <w:r w:rsidR="008F2138" w:rsidRPr="009048CE">
        <w:rPr>
          <w:b/>
          <w:sz w:val="24"/>
          <w:szCs w:val="24"/>
        </w:rPr>
        <w:t>disability</w:t>
      </w:r>
      <w:proofErr w:type="spellEnd"/>
      <w:r w:rsidR="008F2138" w:rsidRPr="009048CE">
        <w:rPr>
          <w:b/>
          <w:sz w:val="24"/>
          <w:szCs w:val="24"/>
        </w:rPr>
        <w:t>/</w:t>
      </w:r>
      <w:proofErr w:type="spellStart"/>
      <w:r w:rsidR="008F2138" w:rsidRPr="009048CE">
        <w:rPr>
          <w:b/>
          <w:sz w:val="24"/>
          <w:szCs w:val="24"/>
        </w:rPr>
        <w:t>special</w:t>
      </w:r>
      <w:proofErr w:type="spellEnd"/>
      <w:r w:rsidR="008F2138" w:rsidRPr="009048CE">
        <w:rPr>
          <w:b/>
          <w:sz w:val="24"/>
          <w:szCs w:val="24"/>
        </w:rPr>
        <w:t xml:space="preserve"> </w:t>
      </w:r>
      <w:proofErr w:type="spellStart"/>
      <w:r w:rsidR="008F2138" w:rsidRPr="009048CE">
        <w:rPr>
          <w:b/>
          <w:sz w:val="24"/>
          <w:szCs w:val="24"/>
        </w:rPr>
        <w:t>needs</w:t>
      </w:r>
      <w:proofErr w:type="spellEnd"/>
      <w:r w:rsidR="008F2138" w:rsidRPr="009048CE">
        <w:rPr>
          <w:b/>
          <w:sz w:val="24"/>
          <w:szCs w:val="24"/>
        </w:rPr>
        <w:t xml:space="preserve"> </w:t>
      </w:r>
      <w:proofErr w:type="spellStart"/>
      <w:r w:rsidR="008F2138" w:rsidRPr="009048CE">
        <w:rPr>
          <w:b/>
          <w:sz w:val="24"/>
          <w:szCs w:val="24"/>
        </w:rPr>
        <w:t>policies</w:t>
      </w:r>
      <w:proofErr w:type="spellEnd"/>
      <w:r w:rsidR="008F2138" w:rsidRPr="009048CE">
        <w:rPr>
          <w:b/>
          <w:sz w:val="24"/>
          <w:szCs w:val="24"/>
        </w:rPr>
        <w:t xml:space="preserve"> and practices in </w:t>
      </w:r>
      <w:proofErr w:type="spellStart"/>
      <w:r w:rsidR="008F2138" w:rsidRPr="009048CE">
        <w:rPr>
          <w:b/>
          <w:sz w:val="24"/>
          <w:szCs w:val="24"/>
        </w:rPr>
        <w:t>education</w:t>
      </w:r>
      <w:proofErr w:type="spellEnd"/>
      <w:r w:rsidR="009048CE">
        <w:rPr>
          <w:rStyle w:val="Appelnotedebasdep"/>
          <w:b/>
          <w:sz w:val="24"/>
          <w:szCs w:val="24"/>
          <w:lang w:val="en-US"/>
        </w:rPr>
        <w:footnoteReference w:id="6"/>
      </w:r>
      <w:r w:rsidR="008F2138" w:rsidRPr="00FD0DF4">
        <w:rPr>
          <w:sz w:val="24"/>
          <w:szCs w:val="24"/>
        </w:rPr>
        <w:t> </w:t>
      </w:r>
      <w:r w:rsidR="008F2138" w:rsidRPr="00E64B42">
        <w:rPr>
          <w:sz w:val="24"/>
          <w:szCs w:val="24"/>
        </w:rPr>
        <w:t xml:space="preserve">», le NESSE (Network of Experts in Social Sciences of Education and training) aborde </w:t>
      </w:r>
      <w:r w:rsidR="004A5CF8" w:rsidRPr="00E64B42">
        <w:rPr>
          <w:sz w:val="24"/>
          <w:szCs w:val="24"/>
        </w:rPr>
        <w:t>la question des pratiques et des politiques en éducation, formation et emploi pour les personnes en situation de handicap et les personnes ayant des besoins éducatifs particulier</w:t>
      </w:r>
      <w:r w:rsidR="006A39CF">
        <w:rPr>
          <w:sz w:val="24"/>
          <w:szCs w:val="24"/>
        </w:rPr>
        <w:t>s</w:t>
      </w:r>
      <w:r w:rsidR="004A5CF8" w:rsidRPr="00E64B42">
        <w:rPr>
          <w:sz w:val="24"/>
          <w:szCs w:val="24"/>
        </w:rPr>
        <w:t xml:space="preserve">. L’auteur y présente les </w:t>
      </w:r>
      <w:r w:rsidR="00186D77">
        <w:rPr>
          <w:sz w:val="24"/>
          <w:szCs w:val="24"/>
        </w:rPr>
        <w:t xml:space="preserve">différentes </w:t>
      </w:r>
      <w:r w:rsidR="004A5CF8" w:rsidRPr="00E64B42">
        <w:rPr>
          <w:sz w:val="24"/>
          <w:szCs w:val="24"/>
        </w:rPr>
        <w:t>définitions des besoins éducatifs particuliers dans les pays européens et les problématiques qui en découlent. Ce rapport a été élaboré à partir de plusieurs sources complémentaires (documents législatifs, rapports, statistiques, expertise</w:t>
      </w:r>
      <w:r w:rsidR="007F6E28" w:rsidRPr="00E64B42">
        <w:rPr>
          <w:sz w:val="24"/>
          <w:szCs w:val="24"/>
        </w:rPr>
        <w:t>s de personnes ressources).</w:t>
      </w:r>
    </w:p>
    <w:p w:rsidR="009048CE" w:rsidRPr="009048CE" w:rsidRDefault="009048CE" w:rsidP="00B20802">
      <w:pPr>
        <w:spacing w:line="720" w:lineRule="auto"/>
        <w:rPr>
          <w:sz w:val="24"/>
          <w:szCs w:val="24"/>
        </w:rPr>
      </w:pPr>
    </w:p>
    <w:p w:rsidR="0047507E" w:rsidRDefault="0047507E" w:rsidP="009F21FB">
      <w:pPr>
        <w:pStyle w:val="Titre2"/>
        <w:pBdr>
          <w:left w:val="single" w:sz="4" w:space="4" w:color="auto"/>
          <w:bottom w:val="single" w:sz="4" w:space="1" w:color="auto"/>
        </w:pBdr>
        <w:jc w:val="center"/>
      </w:pPr>
      <w:bookmarkStart w:id="4" w:name="_Toc433121265"/>
      <w:r>
        <w:t>Eléments de contenu</w:t>
      </w:r>
      <w:bookmarkEnd w:id="4"/>
    </w:p>
    <w:p w:rsidR="009048CE" w:rsidRDefault="009048CE" w:rsidP="00CD391D">
      <w:pPr>
        <w:rPr>
          <w:sz w:val="24"/>
          <w:szCs w:val="24"/>
        </w:rPr>
      </w:pPr>
    </w:p>
    <w:p w:rsidR="0047507E" w:rsidRDefault="0047507E" w:rsidP="00CD391D">
      <w:pPr>
        <w:rPr>
          <w:sz w:val="24"/>
          <w:szCs w:val="24"/>
        </w:rPr>
      </w:pPr>
      <w:r>
        <w:rPr>
          <w:sz w:val="24"/>
          <w:szCs w:val="24"/>
        </w:rPr>
        <w:t>Les quatre documents présentés ci-dessus revie</w:t>
      </w:r>
      <w:r w:rsidR="007F6859">
        <w:rPr>
          <w:sz w:val="24"/>
          <w:szCs w:val="24"/>
        </w:rPr>
        <w:t>nnent sur plusieurs aspects de la scolarisation des élèves en situation de handicap</w:t>
      </w:r>
      <w:r>
        <w:rPr>
          <w:sz w:val="24"/>
          <w:szCs w:val="24"/>
        </w:rPr>
        <w:t>.</w:t>
      </w:r>
    </w:p>
    <w:p w:rsidR="0047507E" w:rsidRDefault="0047507E" w:rsidP="00CD391D">
      <w:pPr>
        <w:rPr>
          <w:sz w:val="24"/>
          <w:szCs w:val="24"/>
        </w:rPr>
      </w:pPr>
    </w:p>
    <w:p w:rsidR="00735B05" w:rsidRPr="00601060" w:rsidRDefault="00D47180" w:rsidP="00601060">
      <w:pPr>
        <w:pStyle w:val="Titre3"/>
        <w:rPr>
          <w:u w:val="single"/>
        </w:rPr>
      </w:pPr>
      <w:bookmarkStart w:id="5" w:name="_Toc433121266"/>
      <w:r>
        <w:rPr>
          <w:u w:val="single"/>
        </w:rPr>
        <w:t>Cadre de référence international</w:t>
      </w:r>
      <w:bookmarkEnd w:id="5"/>
    </w:p>
    <w:p w:rsidR="00735B05" w:rsidRDefault="00735B05" w:rsidP="00CD391D">
      <w:pPr>
        <w:rPr>
          <w:sz w:val="24"/>
          <w:szCs w:val="24"/>
        </w:rPr>
      </w:pPr>
    </w:p>
    <w:p w:rsidR="007A790B" w:rsidRDefault="00C325F6" w:rsidP="00CD391D">
      <w:pPr>
        <w:rPr>
          <w:sz w:val="24"/>
          <w:szCs w:val="24"/>
        </w:rPr>
      </w:pPr>
      <w:r>
        <w:rPr>
          <w:sz w:val="24"/>
          <w:szCs w:val="24"/>
        </w:rPr>
        <w:t>L</w:t>
      </w:r>
      <w:r w:rsidR="00F4263D" w:rsidRPr="00E64B42">
        <w:rPr>
          <w:sz w:val="24"/>
          <w:szCs w:val="24"/>
        </w:rPr>
        <w:t xml:space="preserve">es rapports reviennent </w:t>
      </w:r>
      <w:r>
        <w:rPr>
          <w:sz w:val="24"/>
          <w:szCs w:val="24"/>
        </w:rPr>
        <w:t xml:space="preserve">dans un premier temps </w:t>
      </w:r>
      <w:r w:rsidR="00F4263D" w:rsidRPr="00E64B42">
        <w:rPr>
          <w:sz w:val="24"/>
          <w:szCs w:val="24"/>
        </w:rPr>
        <w:t xml:space="preserve">sur certains textes européens et internationaux abordant </w:t>
      </w:r>
      <w:r>
        <w:rPr>
          <w:sz w:val="24"/>
          <w:szCs w:val="24"/>
        </w:rPr>
        <w:t xml:space="preserve">la question de l’éducation inclusive : </w:t>
      </w:r>
    </w:p>
    <w:p w:rsidR="00C325F6" w:rsidRPr="00E64B42" w:rsidRDefault="00C325F6" w:rsidP="00CD391D">
      <w:pPr>
        <w:rPr>
          <w:sz w:val="24"/>
          <w:szCs w:val="24"/>
        </w:rPr>
      </w:pPr>
    </w:p>
    <w:p w:rsidR="00F4263D" w:rsidRPr="00E64B42" w:rsidRDefault="00F4263D" w:rsidP="00F4263D">
      <w:pPr>
        <w:pStyle w:val="Paragraphedeliste"/>
        <w:numPr>
          <w:ilvl w:val="0"/>
          <w:numId w:val="20"/>
        </w:numPr>
        <w:rPr>
          <w:sz w:val="24"/>
          <w:szCs w:val="24"/>
        </w:rPr>
      </w:pPr>
      <w:r w:rsidRPr="00E64B42">
        <w:rPr>
          <w:sz w:val="24"/>
          <w:szCs w:val="24"/>
        </w:rPr>
        <w:t>La Déclaration de Salamanque (1994), adoptée par 92 gouvernements et 25 organisations internationales</w:t>
      </w:r>
      <w:r w:rsidR="00FC7C3A" w:rsidRPr="00E64B42">
        <w:rPr>
          <w:sz w:val="24"/>
          <w:szCs w:val="24"/>
        </w:rPr>
        <w:t> ;</w:t>
      </w:r>
    </w:p>
    <w:p w:rsidR="00F4263D" w:rsidRPr="00E64B42" w:rsidRDefault="00F4263D" w:rsidP="00F4263D">
      <w:pPr>
        <w:pStyle w:val="Paragraphedeliste"/>
        <w:numPr>
          <w:ilvl w:val="0"/>
          <w:numId w:val="20"/>
        </w:numPr>
        <w:rPr>
          <w:sz w:val="24"/>
          <w:szCs w:val="24"/>
        </w:rPr>
      </w:pPr>
      <w:r w:rsidRPr="00E64B42">
        <w:rPr>
          <w:sz w:val="24"/>
          <w:szCs w:val="24"/>
        </w:rPr>
        <w:t xml:space="preserve">La Charte de Luxembourg (1996) comportant des principes, stratégies </w:t>
      </w:r>
      <w:r w:rsidR="00FC7C3A" w:rsidRPr="00E64B42">
        <w:rPr>
          <w:sz w:val="24"/>
          <w:szCs w:val="24"/>
        </w:rPr>
        <w:t>et propositions destinées à placer la personne au centre de tout projet éducatif ;</w:t>
      </w:r>
    </w:p>
    <w:p w:rsidR="00F4263D" w:rsidRPr="00E64B42" w:rsidRDefault="00FC7C3A" w:rsidP="00CD391D">
      <w:pPr>
        <w:pStyle w:val="Paragraphedeliste"/>
        <w:numPr>
          <w:ilvl w:val="0"/>
          <w:numId w:val="20"/>
        </w:numPr>
        <w:rPr>
          <w:sz w:val="24"/>
          <w:szCs w:val="24"/>
        </w:rPr>
      </w:pPr>
      <w:r w:rsidRPr="00E64B42">
        <w:rPr>
          <w:sz w:val="24"/>
          <w:szCs w:val="24"/>
        </w:rPr>
        <w:t>L’article 13 du Traité d’Amsterdam (1997) contre l’exclusion et les discriminations ;</w:t>
      </w:r>
    </w:p>
    <w:p w:rsidR="00FC7C3A" w:rsidRPr="00E64B42" w:rsidRDefault="00FC7C3A" w:rsidP="00CD391D">
      <w:pPr>
        <w:pStyle w:val="Paragraphedeliste"/>
        <w:numPr>
          <w:ilvl w:val="0"/>
          <w:numId w:val="20"/>
        </w:numPr>
        <w:rPr>
          <w:sz w:val="24"/>
          <w:szCs w:val="24"/>
        </w:rPr>
      </w:pPr>
      <w:r w:rsidRPr="00E64B42">
        <w:rPr>
          <w:sz w:val="24"/>
          <w:szCs w:val="24"/>
        </w:rPr>
        <w:t>L’article 24 de la Convention Internationale relative aux Droits des Personnes Handicapées (2006) sur l’inclusion à tous les niveaux du parcours scolaire, les aménagements nécessaires et le personnel d’accompagnement à prendre en compte.</w:t>
      </w:r>
    </w:p>
    <w:p w:rsidR="00FC7C3A" w:rsidRDefault="00FC7C3A" w:rsidP="00FC7C3A">
      <w:pPr>
        <w:rPr>
          <w:sz w:val="24"/>
          <w:szCs w:val="24"/>
        </w:rPr>
      </w:pPr>
    </w:p>
    <w:p w:rsidR="00735B05" w:rsidRPr="00C325F6" w:rsidRDefault="00735B05" w:rsidP="00C325F6">
      <w:pPr>
        <w:pStyle w:val="Titre3"/>
        <w:rPr>
          <w:u w:val="single"/>
        </w:rPr>
      </w:pPr>
      <w:bookmarkStart w:id="6" w:name="_Toc433121267"/>
      <w:r w:rsidRPr="00C325F6">
        <w:rPr>
          <w:u w:val="single"/>
        </w:rPr>
        <w:lastRenderedPageBreak/>
        <w:t xml:space="preserve">Les </w:t>
      </w:r>
      <w:r w:rsidR="00C325F6" w:rsidRPr="00C325F6">
        <w:rPr>
          <w:u w:val="single"/>
        </w:rPr>
        <w:t>vecteurs</w:t>
      </w:r>
      <w:r w:rsidRPr="00C325F6">
        <w:rPr>
          <w:u w:val="single"/>
        </w:rPr>
        <w:t xml:space="preserve"> de l’éducation inclusive</w:t>
      </w:r>
      <w:bookmarkEnd w:id="6"/>
    </w:p>
    <w:p w:rsidR="00735B05" w:rsidRDefault="00735B05" w:rsidP="00FC7C3A">
      <w:pPr>
        <w:rPr>
          <w:sz w:val="24"/>
          <w:szCs w:val="24"/>
        </w:rPr>
      </w:pPr>
    </w:p>
    <w:p w:rsidR="009A4098" w:rsidRDefault="00B832C9" w:rsidP="00B832C9">
      <w:pPr>
        <w:rPr>
          <w:sz w:val="24"/>
          <w:szCs w:val="24"/>
        </w:rPr>
      </w:pPr>
      <w:r>
        <w:rPr>
          <w:sz w:val="24"/>
          <w:szCs w:val="24"/>
        </w:rPr>
        <w:t xml:space="preserve">L’ensemble des documents présentés font émerger une tendance générale de l’intégration à l’inclusion scolaire, modèle centré sur l’adaptation du milieu scolaire aux élèves ayant des besoins spécifiques. </w:t>
      </w:r>
    </w:p>
    <w:p w:rsidR="009A4098" w:rsidRDefault="009A4098" w:rsidP="00B832C9">
      <w:pPr>
        <w:rPr>
          <w:sz w:val="24"/>
          <w:szCs w:val="24"/>
        </w:rPr>
      </w:pPr>
    </w:p>
    <w:p w:rsidR="009048CE" w:rsidRDefault="00B832C9" w:rsidP="00FD0DF4">
      <w:pPr>
        <w:rPr>
          <w:sz w:val="24"/>
          <w:szCs w:val="24"/>
        </w:rPr>
      </w:pPr>
      <w:r>
        <w:rPr>
          <w:sz w:val="24"/>
          <w:szCs w:val="24"/>
        </w:rPr>
        <w:t>L’</w:t>
      </w:r>
      <w:r w:rsidR="009A4098">
        <w:rPr>
          <w:sz w:val="24"/>
          <w:szCs w:val="24"/>
        </w:rPr>
        <w:t>étude de ces</w:t>
      </w:r>
      <w:r w:rsidR="00FD0DF4" w:rsidRPr="00FD0DF4">
        <w:rPr>
          <w:sz w:val="24"/>
          <w:szCs w:val="24"/>
        </w:rPr>
        <w:t xml:space="preserve"> documents </w:t>
      </w:r>
      <w:r w:rsidR="009A4098">
        <w:rPr>
          <w:sz w:val="24"/>
          <w:szCs w:val="24"/>
        </w:rPr>
        <w:t>permet également d’identifier plusieurs</w:t>
      </w:r>
      <w:r w:rsidR="00FD0DF4" w:rsidRPr="00FD0DF4">
        <w:rPr>
          <w:sz w:val="24"/>
          <w:szCs w:val="24"/>
        </w:rPr>
        <w:t xml:space="preserve"> grands </w:t>
      </w:r>
      <w:r w:rsidR="009A4098">
        <w:rPr>
          <w:sz w:val="24"/>
          <w:szCs w:val="24"/>
        </w:rPr>
        <w:t>vecteurs de l’éducation inclusive.</w:t>
      </w:r>
    </w:p>
    <w:p w:rsidR="009048CE" w:rsidRPr="00FD0DF4" w:rsidRDefault="009048CE" w:rsidP="00FD0DF4">
      <w:pPr>
        <w:rPr>
          <w:sz w:val="24"/>
          <w:szCs w:val="24"/>
        </w:rPr>
      </w:pPr>
    </w:p>
    <w:p w:rsidR="00FD0DF4" w:rsidRPr="00B20802" w:rsidRDefault="00FD0DF4" w:rsidP="00FD0DF4">
      <w:pPr>
        <w:pStyle w:val="Paragraphedeliste"/>
        <w:numPr>
          <w:ilvl w:val="0"/>
          <w:numId w:val="22"/>
        </w:numPr>
        <w:rPr>
          <w:b/>
          <w:sz w:val="24"/>
          <w:szCs w:val="24"/>
        </w:rPr>
      </w:pPr>
      <w:r w:rsidRPr="00B20802">
        <w:rPr>
          <w:b/>
          <w:sz w:val="24"/>
          <w:szCs w:val="24"/>
        </w:rPr>
        <w:t>Les types de scolarisation des e</w:t>
      </w:r>
      <w:r w:rsidR="00C325F6" w:rsidRPr="00B20802">
        <w:rPr>
          <w:b/>
          <w:sz w:val="24"/>
          <w:szCs w:val="24"/>
        </w:rPr>
        <w:t>nfants en situation de handicap</w:t>
      </w:r>
    </w:p>
    <w:p w:rsidR="00C325F6" w:rsidRDefault="00C325F6" w:rsidP="00C325F6">
      <w:pPr>
        <w:rPr>
          <w:sz w:val="24"/>
          <w:szCs w:val="24"/>
        </w:rPr>
      </w:pPr>
    </w:p>
    <w:p w:rsidR="00C325F6" w:rsidRDefault="00C325F6" w:rsidP="00C325F6">
      <w:pPr>
        <w:rPr>
          <w:sz w:val="24"/>
          <w:szCs w:val="24"/>
        </w:rPr>
      </w:pPr>
      <w:r>
        <w:rPr>
          <w:sz w:val="24"/>
          <w:szCs w:val="24"/>
        </w:rPr>
        <w:t xml:space="preserve">Trois approches différentes se distinguent en termes de scolarisation. L’approche unique, mis en place en Suède, Norvège, Italie, Espagne, Portugal et Grèce, consiste à n’avoir qu’un seul système de scolarisation. </w:t>
      </w:r>
      <w:r w:rsidR="00BA7603">
        <w:rPr>
          <w:sz w:val="24"/>
          <w:szCs w:val="24"/>
        </w:rPr>
        <w:t>Avec</w:t>
      </w:r>
      <w:r>
        <w:rPr>
          <w:sz w:val="24"/>
          <w:szCs w:val="24"/>
        </w:rPr>
        <w:t xml:space="preserve"> cette approche, la scolarisation des enfants handicapés en milieu ordinaire e</w:t>
      </w:r>
      <w:r w:rsidR="00BA7603">
        <w:rPr>
          <w:sz w:val="24"/>
          <w:szCs w:val="24"/>
        </w:rPr>
        <w:t>s</w:t>
      </w:r>
      <w:r>
        <w:rPr>
          <w:sz w:val="24"/>
          <w:szCs w:val="24"/>
        </w:rPr>
        <w:t>t privilégiée.</w:t>
      </w:r>
    </w:p>
    <w:p w:rsidR="00C325F6" w:rsidRDefault="00C325F6" w:rsidP="00C325F6">
      <w:pPr>
        <w:rPr>
          <w:sz w:val="24"/>
          <w:szCs w:val="24"/>
        </w:rPr>
      </w:pPr>
    </w:p>
    <w:p w:rsidR="00C325F6" w:rsidRDefault="00C325F6" w:rsidP="00C325F6">
      <w:pPr>
        <w:rPr>
          <w:sz w:val="24"/>
          <w:szCs w:val="24"/>
        </w:rPr>
      </w:pPr>
      <w:r>
        <w:rPr>
          <w:sz w:val="24"/>
          <w:szCs w:val="24"/>
        </w:rPr>
        <w:t>La Belgique, la Suisse, les Pays-Bas et l’Allemagne pratiquent une double approche. Dans ces pays, les enfants ayant des besoins éducatifs particuliers sont scolarisés dans des écoles spécialisées ou des classes spéciales en fonction de leurs incapacités et de la nature de leurs besoins.</w:t>
      </w:r>
    </w:p>
    <w:p w:rsidR="00C325F6" w:rsidRDefault="00C325F6" w:rsidP="00C325F6">
      <w:pPr>
        <w:rPr>
          <w:sz w:val="24"/>
          <w:szCs w:val="24"/>
        </w:rPr>
      </w:pPr>
    </w:p>
    <w:p w:rsidR="00C325F6" w:rsidRDefault="00C325F6" w:rsidP="00C325F6">
      <w:pPr>
        <w:rPr>
          <w:sz w:val="24"/>
          <w:szCs w:val="24"/>
        </w:rPr>
      </w:pPr>
      <w:r>
        <w:rPr>
          <w:sz w:val="24"/>
          <w:szCs w:val="24"/>
        </w:rPr>
        <w:t>Enfin, certains pays européens ont privi</w:t>
      </w:r>
      <w:r w:rsidR="007859E3">
        <w:rPr>
          <w:sz w:val="24"/>
          <w:szCs w:val="24"/>
        </w:rPr>
        <w:t>légié un système multiple, proposant un traitement ouvert et des pratiques particulières et souples. C’est le cas en France, en Angleterre, en Autriche, en Finlande, au Danemark, en Irlande, au Luxembourg et en Pologne.</w:t>
      </w:r>
    </w:p>
    <w:p w:rsidR="009F21FB" w:rsidRPr="00C325F6" w:rsidRDefault="009F21FB" w:rsidP="00C325F6">
      <w:pPr>
        <w:rPr>
          <w:sz w:val="24"/>
          <w:szCs w:val="24"/>
        </w:rPr>
      </w:pPr>
    </w:p>
    <w:p w:rsidR="00FD0DF4" w:rsidRPr="00B20802" w:rsidRDefault="00C12662" w:rsidP="00FD0DF4">
      <w:pPr>
        <w:pStyle w:val="Paragraphedeliste"/>
        <w:numPr>
          <w:ilvl w:val="0"/>
          <w:numId w:val="22"/>
        </w:numPr>
        <w:rPr>
          <w:b/>
          <w:sz w:val="24"/>
          <w:szCs w:val="24"/>
        </w:rPr>
      </w:pPr>
      <w:r>
        <w:rPr>
          <w:b/>
          <w:sz w:val="24"/>
          <w:szCs w:val="24"/>
        </w:rPr>
        <w:t>L’identification des Besoins Educatifs P</w:t>
      </w:r>
      <w:r w:rsidR="00FD0DF4" w:rsidRPr="00B20802">
        <w:rPr>
          <w:b/>
          <w:sz w:val="24"/>
          <w:szCs w:val="24"/>
        </w:rPr>
        <w:t>a</w:t>
      </w:r>
      <w:r w:rsidR="00C325F6" w:rsidRPr="00B20802">
        <w:rPr>
          <w:b/>
          <w:sz w:val="24"/>
          <w:szCs w:val="24"/>
        </w:rPr>
        <w:t>rticuliers</w:t>
      </w:r>
      <w:r w:rsidR="007859E3" w:rsidRPr="00B20802">
        <w:rPr>
          <w:b/>
          <w:sz w:val="24"/>
          <w:szCs w:val="24"/>
        </w:rPr>
        <w:t xml:space="preserve"> (BEP)</w:t>
      </w:r>
    </w:p>
    <w:p w:rsidR="00C325F6" w:rsidRDefault="00C325F6" w:rsidP="007859E3">
      <w:pPr>
        <w:rPr>
          <w:sz w:val="24"/>
          <w:szCs w:val="24"/>
        </w:rPr>
      </w:pPr>
    </w:p>
    <w:p w:rsidR="007859E3" w:rsidRDefault="007859E3" w:rsidP="007859E3">
      <w:pPr>
        <w:rPr>
          <w:sz w:val="24"/>
          <w:szCs w:val="24"/>
        </w:rPr>
      </w:pPr>
      <w:r>
        <w:rPr>
          <w:sz w:val="24"/>
          <w:szCs w:val="24"/>
        </w:rPr>
        <w:t>Les systèmes des besoins éducatifs particuliers dépendent de facteurs géog</w:t>
      </w:r>
      <w:r w:rsidR="00890F05">
        <w:rPr>
          <w:sz w:val="24"/>
          <w:szCs w:val="24"/>
        </w:rPr>
        <w:t>raphiques, culturels et socio-</w:t>
      </w:r>
      <w:r>
        <w:rPr>
          <w:sz w:val="24"/>
          <w:szCs w:val="24"/>
        </w:rPr>
        <w:t xml:space="preserve">économiques. Dans les pays employant un système multiple, notamment, la scolarisation des enfants handicapés est basée sur différents systèmes et classements des </w:t>
      </w:r>
      <w:r w:rsidR="00BA5F09">
        <w:rPr>
          <w:sz w:val="24"/>
          <w:szCs w:val="24"/>
        </w:rPr>
        <w:t>BEP</w:t>
      </w:r>
      <w:r>
        <w:rPr>
          <w:sz w:val="24"/>
          <w:szCs w:val="24"/>
        </w:rPr>
        <w:t xml:space="preserve">. </w:t>
      </w:r>
    </w:p>
    <w:p w:rsidR="00C325F6" w:rsidRPr="00C325F6" w:rsidRDefault="00C325F6" w:rsidP="00C325F6">
      <w:pPr>
        <w:rPr>
          <w:sz w:val="24"/>
          <w:szCs w:val="24"/>
        </w:rPr>
      </w:pPr>
    </w:p>
    <w:p w:rsidR="00C325F6" w:rsidRPr="00B20802" w:rsidRDefault="00FD0DF4" w:rsidP="00C325F6">
      <w:pPr>
        <w:pStyle w:val="Paragraphedeliste"/>
        <w:numPr>
          <w:ilvl w:val="0"/>
          <w:numId w:val="22"/>
        </w:numPr>
        <w:rPr>
          <w:b/>
          <w:sz w:val="24"/>
          <w:szCs w:val="24"/>
        </w:rPr>
      </w:pPr>
      <w:r w:rsidRPr="00B20802">
        <w:rPr>
          <w:b/>
          <w:sz w:val="24"/>
          <w:szCs w:val="24"/>
        </w:rPr>
        <w:t xml:space="preserve">La mise en place d’un </w:t>
      </w:r>
      <w:r w:rsidR="00C325F6" w:rsidRPr="00B20802">
        <w:rPr>
          <w:b/>
          <w:sz w:val="24"/>
          <w:szCs w:val="24"/>
        </w:rPr>
        <w:t>Plan Educatif Individuel (PEI)</w:t>
      </w:r>
    </w:p>
    <w:p w:rsidR="00C325F6" w:rsidRDefault="00C325F6" w:rsidP="00C325F6">
      <w:pPr>
        <w:rPr>
          <w:sz w:val="24"/>
          <w:szCs w:val="24"/>
        </w:rPr>
      </w:pPr>
    </w:p>
    <w:p w:rsidR="00BA5F09" w:rsidRDefault="00BA5F09" w:rsidP="00C325F6">
      <w:pPr>
        <w:rPr>
          <w:sz w:val="24"/>
          <w:szCs w:val="24"/>
        </w:rPr>
      </w:pPr>
      <w:r>
        <w:rPr>
          <w:sz w:val="24"/>
          <w:szCs w:val="24"/>
        </w:rPr>
        <w:t>Le plan éducatif individuel a été mis en place dans certains pays européens, pour permettre une évaluation la plus précise possible des besoins des élèves en situation de handicap, de manière à apporter la solution la plus adaptée. </w:t>
      </w:r>
    </w:p>
    <w:p w:rsidR="00C020B3" w:rsidRPr="00C325F6" w:rsidRDefault="00C020B3" w:rsidP="00C325F6">
      <w:pPr>
        <w:rPr>
          <w:sz w:val="24"/>
          <w:szCs w:val="24"/>
        </w:rPr>
      </w:pPr>
      <w:r>
        <w:rPr>
          <w:sz w:val="24"/>
          <w:szCs w:val="24"/>
        </w:rPr>
        <w:br w:type="page"/>
      </w:r>
    </w:p>
    <w:p w:rsidR="00FD0DF4" w:rsidRPr="00B20802" w:rsidRDefault="007F6859" w:rsidP="00FD0DF4">
      <w:pPr>
        <w:pStyle w:val="Paragraphedeliste"/>
        <w:numPr>
          <w:ilvl w:val="0"/>
          <w:numId w:val="22"/>
        </w:numPr>
        <w:rPr>
          <w:b/>
          <w:sz w:val="24"/>
          <w:szCs w:val="24"/>
        </w:rPr>
      </w:pPr>
      <w:r w:rsidRPr="00B20802">
        <w:rPr>
          <w:b/>
          <w:sz w:val="24"/>
          <w:szCs w:val="24"/>
        </w:rPr>
        <w:lastRenderedPageBreak/>
        <w:t>L</w:t>
      </w:r>
      <w:r w:rsidR="00FD0DF4" w:rsidRPr="00B20802">
        <w:rPr>
          <w:b/>
          <w:sz w:val="24"/>
          <w:szCs w:val="24"/>
        </w:rPr>
        <w:t>e rôle des</w:t>
      </w:r>
      <w:r w:rsidR="00C325F6" w:rsidRPr="00B20802">
        <w:rPr>
          <w:b/>
          <w:sz w:val="24"/>
          <w:szCs w:val="24"/>
        </w:rPr>
        <w:t xml:space="preserve"> enseignants</w:t>
      </w:r>
    </w:p>
    <w:p w:rsidR="00C325F6" w:rsidRPr="00C325F6" w:rsidRDefault="00C325F6" w:rsidP="00C325F6">
      <w:pPr>
        <w:pStyle w:val="Paragraphedeliste"/>
        <w:rPr>
          <w:sz w:val="24"/>
          <w:szCs w:val="24"/>
        </w:rPr>
      </w:pPr>
    </w:p>
    <w:p w:rsidR="00C325F6" w:rsidRDefault="00DF628C" w:rsidP="00C325F6">
      <w:pPr>
        <w:rPr>
          <w:sz w:val="24"/>
          <w:szCs w:val="24"/>
        </w:rPr>
      </w:pPr>
      <w:r>
        <w:rPr>
          <w:sz w:val="24"/>
          <w:szCs w:val="24"/>
        </w:rPr>
        <w:t xml:space="preserve">La question de la formation des enseignants et personnels d’accompagnement est centrale. En majeure partie, les Etats européens ont mis en place des formations adaptées, et les enseignants spécialisés constituent des relais pour les enseignants des classes inclusives. </w:t>
      </w:r>
    </w:p>
    <w:p w:rsidR="009048CE" w:rsidRDefault="00BD6365" w:rsidP="00CD391D">
      <w:pPr>
        <w:rPr>
          <w:sz w:val="24"/>
          <w:szCs w:val="24"/>
        </w:rPr>
      </w:pPr>
      <w:r>
        <w:rPr>
          <w:sz w:val="24"/>
          <w:szCs w:val="24"/>
        </w:rPr>
        <w:br w:type="page"/>
      </w:r>
    </w:p>
    <w:p w:rsidR="00BD6365" w:rsidRPr="00BD6365" w:rsidRDefault="00BD6365" w:rsidP="00BD6365">
      <w:pPr>
        <w:pStyle w:val="Titre3"/>
        <w:rPr>
          <w:u w:val="single"/>
        </w:rPr>
      </w:pPr>
      <w:bookmarkStart w:id="7" w:name="_Toc433121268"/>
      <w:r w:rsidRPr="00BD6365">
        <w:rPr>
          <w:u w:val="single"/>
        </w:rPr>
        <w:lastRenderedPageBreak/>
        <w:t>L’éducation inclusive dans les pratiques</w:t>
      </w:r>
      <w:bookmarkEnd w:id="7"/>
    </w:p>
    <w:p w:rsidR="00BD6365" w:rsidRDefault="00BD6365" w:rsidP="00BD6365">
      <w:pPr>
        <w:rPr>
          <w:sz w:val="24"/>
          <w:szCs w:val="24"/>
        </w:rPr>
      </w:pPr>
    </w:p>
    <w:p w:rsidR="00BD6365" w:rsidRPr="007859E3" w:rsidRDefault="00BD6365" w:rsidP="00BD6365">
      <w:pPr>
        <w:rPr>
          <w:sz w:val="24"/>
          <w:szCs w:val="24"/>
        </w:rPr>
      </w:pPr>
      <w:r>
        <w:rPr>
          <w:sz w:val="24"/>
          <w:szCs w:val="24"/>
        </w:rPr>
        <w:t xml:space="preserve">Concernant les </w:t>
      </w:r>
      <w:r w:rsidR="00C12662">
        <w:rPr>
          <w:sz w:val="24"/>
          <w:szCs w:val="24"/>
        </w:rPr>
        <w:t xml:space="preserve">besoins </w:t>
      </w:r>
      <w:r>
        <w:rPr>
          <w:sz w:val="24"/>
          <w:szCs w:val="24"/>
        </w:rPr>
        <w:t>éducatifs particulier, en Angleterre par exemple, le cadre de prise en charge des élèves concernés est définit légalement et accompagné par un code de conduite spécial. La définition du handicap est assez large, et il existe une forte collaboration entre l’école ordinaire et les structures spécialisées. Au Danemark en revanche, les BEP sont répartis en deux groupes, respectivement gérés par les municipalités et les comtés.</w:t>
      </w:r>
    </w:p>
    <w:p w:rsidR="00BD6365" w:rsidRDefault="00BD6365" w:rsidP="00BD6365">
      <w:pPr>
        <w:rPr>
          <w:sz w:val="24"/>
          <w:szCs w:val="24"/>
        </w:rPr>
      </w:pPr>
    </w:p>
    <w:p w:rsidR="00BD6365" w:rsidRDefault="00BD6365" w:rsidP="00BD6365">
      <w:pPr>
        <w:rPr>
          <w:sz w:val="24"/>
          <w:szCs w:val="24"/>
        </w:rPr>
      </w:pPr>
      <w:r>
        <w:rPr>
          <w:sz w:val="24"/>
          <w:szCs w:val="24"/>
        </w:rPr>
        <w:t xml:space="preserve">En Italie, pays pionnier sur la question de la formation et de l’inclusion scolaire, les élèves en situation de handicap ont la possibilité d’être accompagnés par un enseignant spécialisé. Le Pan Educatif Individuel est élaboré à partir du profil </w:t>
      </w:r>
      <w:proofErr w:type="spellStart"/>
      <w:r>
        <w:rPr>
          <w:sz w:val="24"/>
          <w:szCs w:val="24"/>
        </w:rPr>
        <w:t>dynamico</w:t>
      </w:r>
      <w:proofErr w:type="spellEnd"/>
      <w:r>
        <w:rPr>
          <w:sz w:val="24"/>
          <w:szCs w:val="24"/>
        </w:rPr>
        <w:t>-fonctionnel des élèves, basé sur les caractéristiques physiques, sociales et affectives, ainsi que sur les difficultés rencontrées, les possibilités d’accompagnement et les capacités à développer.</w:t>
      </w:r>
    </w:p>
    <w:p w:rsidR="00BD6365" w:rsidRDefault="00BD6365" w:rsidP="00BD6365">
      <w:pPr>
        <w:rPr>
          <w:sz w:val="24"/>
          <w:szCs w:val="24"/>
        </w:rPr>
      </w:pPr>
    </w:p>
    <w:p w:rsidR="00BD6365" w:rsidRDefault="00BD6365" w:rsidP="00BD6365">
      <w:pPr>
        <w:rPr>
          <w:sz w:val="24"/>
          <w:szCs w:val="24"/>
        </w:rPr>
      </w:pPr>
      <w:r>
        <w:rPr>
          <w:sz w:val="24"/>
          <w:szCs w:val="24"/>
        </w:rPr>
        <w:t>Au Portugal, où ce système a également été mis en place, les écoles spécialisées constituent des centres de ressources proposant des services de soutien.</w:t>
      </w:r>
    </w:p>
    <w:p w:rsidR="00B832C9" w:rsidRDefault="00B832C9" w:rsidP="00B20802">
      <w:pPr>
        <w:spacing w:line="720" w:lineRule="auto"/>
        <w:rPr>
          <w:sz w:val="24"/>
          <w:szCs w:val="24"/>
        </w:rPr>
      </w:pPr>
    </w:p>
    <w:p w:rsidR="004947BE" w:rsidRPr="0030638D" w:rsidRDefault="004947BE" w:rsidP="009F21FB">
      <w:pPr>
        <w:pStyle w:val="Titre2"/>
        <w:pBdr>
          <w:left w:val="single" w:sz="4" w:space="4" w:color="auto"/>
          <w:bottom w:val="single" w:sz="4" w:space="1" w:color="auto"/>
        </w:pBdr>
        <w:jc w:val="center"/>
      </w:pPr>
      <w:bookmarkStart w:id="8" w:name="_Toc433121269"/>
      <w:r w:rsidRPr="0030638D">
        <w:t>Fiches de lecture</w:t>
      </w:r>
      <w:bookmarkEnd w:id="8"/>
    </w:p>
    <w:p w:rsidR="009048CE" w:rsidRPr="0030638D" w:rsidRDefault="009048CE" w:rsidP="00F601CE">
      <w:pPr>
        <w:rPr>
          <w:sz w:val="24"/>
          <w:szCs w:val="24"/>
        </w:rPr>
      </w:pPr>
    </w:p>
    <w:p w:rsidR="00450C3D" w:rsidRDefault="00450C3D" w:rsidP="003E1710">
      <w:pPr>
        <w:rPr>
          <w:sz w:val="24"/>
          <w:szCs w:val="24"/>
        </w:rPr>
      </w:pPr>
      <w:r w:rsidRPr="0030638D">
        <w:rPr>
          <w:sz w:val="24"/>
          <w:szCs w:val="24"/>
        </w:rPr>
        <w:t>Ces fiches de lecture ont été réalisées pour les documents ayant été jugés les plus pertinents au regard des critères définis par les d</w:t>
      </w:r>
      <w:r w:rsidR="003E1710">
        <w:rPr>
          <w:sz w:val="24"/>
          <w:szCs w:val="24"/>
        </w:rPr>
        <w:t>ifférents partenaires impliqués dans ce travail.</w:t>
      </w:r>
    </w:p>
    <w:p w:rsidR="003E1710" w:rsidRPr="0030638D" w:rsidRDefault="003E1710" w:rsidP="003E1710">
      <w:pPr>
        <w:rPr>
          <w:sz w:val="24"/>
          <w:szCs w:val="24"/>
        </w:rPr>
      </w:pPr>
    </w:p>
    <w:p w:rsidR="00B20802" w:rsidRDefault="00450C3D" w:rsidP="00CD391D">
      <w:pPr>
        <w:rPr>
          <w:sz w:val="24"/>
          <w:szCs w:val="24"/>
        </w:rPr>
      </w:pPr>
      <w:r>
        <w:rPr>
          <w:sz w:val="24"/>
          <w:szCs w:val="24"/>
        </w:rPr>
        <w:t>Sous chaque référence, un lien permet d’accéder à la notice complète et au</w:t>
      </w:r>
      <w:r w:rsidR="009F21FB">
        <w:rPr>
          <w:sz w:val="24"/>
          <w:szCs w:val="24"/>
        </w:rPr>
        <w:t>(x)</w:t>
      </w:r>
      <w:r>
        <w:rPr>
          <w:sz w:val="24"/>
          <w:szCs w:val="24"/>
        </w:rPr>
        <w:t xml:space="preserve"> document</w:t>
      </w:r>
      <w:r w:rsidR="009F21FB">
        <w:rPr>
          <w:sz w:val="24"/>
          <w:szCs w:val="24"/>
        </w:rPr>
        <w:t>(s)</w:t>
      </w:r>
      <w:r>
        <w:rPr>
          <w:sz w:val="24"/>
          <w:szCs w:val="24"/>
        </w:rPr>
        <w:t xml:space="preserve"> sur la base documentaire du Centre Ressources R</w:t>
      </w:r>
      <w:r w:rsidR="00BD6365">
        <w:rPr>
          <w:sz w:val="24"/>
          <w:szCs w:val="24"/>
        </w:rPr>
        <w:t>echerche Appliquée et Handicap.</w:t>
      </w:r>
    </w:p>
    <w:p w:rsidR="009048CE" w:rsidRDefault="00B20802" w:rsidP="00CD391D">
      <w:pPr>
        <w:rPr>
          <w:sz w:val="24"/>
          <w:szCs w:val="24"/>
        </w:rPr>
      </w:pPr>
      <w:r>
        <w:rPr>
          <w:sz w:val="24"/>
          <w:szCs w:val="24"/>
        </w:rPr>
        <w:br w:type="page"/>
      </w:r>
    </w:p>
    <w:p w:rsidR="00AB6690" w:rsidRPr="00AB6690" w:rsidRDefault="00AB6690" w:rsidP="00AB6690">
      <w:pPr>
        <w:pStyle w:val="Titre3"/>
        <w:numPr>
          <w:ilvl w:val="0"/>
          <w:numId w:val="30"/>
        </w:numPr>
        <w:rPr>
          <w:b/>
        </w:rPr>
      </w:pPr>
      <w:bookmarkStart w:id="9" w:name="_Toc433121270"/>
      <w:r w:rsidRPr="00AB6690">
        <w:rPr>
          <w:b/>
        </w:rPr>
        <w:lastRenderedPageBreak/>
        <w:t>Fiche 1. La scolarisation des élèves en situation de handicap en Europe</w:t>
      </w:r>
      <w:bookmarkEnd w:id="9"/>
    </w:p>
    <w:p w:rsidR="00AB6690" w:rsidRDefault="00AB6690" w:rsidP="00CD391D">
      <w:pPr>
        <w:rPr>
          <w:sz w:val="24"/>
          <w:szCs w:val="24"/>
        </w:rPr>
      </w:pPr>
    </w:p>
    <w:p w:rsidR="004947BE" w:rsidRPr="00AB6690" w:rsidRDefault="004947BE" w:rsidP="00AB6690">
      <w:pPr>
        <w:rPr>
          <w:sz w:val="24"/>
        </w:rPr>
      </w:pPr>
      <w:proofErr w:type="spellStart"/>
      <w:r w:rsidRPr="00AB6690">
        <w:rPr>
          <w:sz w:val="24"/>
        </w:rPr>
        <w:t>Beaucher</w:t>
      </w:r>
      <w:proofErr w:type="spellEnd"/>
      <w:r w:rsidRPr="00AB6690">
        <w:rPr>
          <w:sz w:val="24"/>
        </w:rPr>
        <w:t xml:space="preserve"> H. La scolarisation des élèves en situation de handicap en Europe. CRID-CIEP. 2012. 32p</w:t>
      </w:r>
    </w:p>
    <w:p w:rsidR="004947BE" w:rsidRDefault="004947BE" w:rsidP="00F601CE">
      <w:pPr>
        <w:rPr>
          <w:sz w:val="24"/>
          <w:szCs w:val="24"/>
        </w:rPr>
      </w:pPr>
    </w:p>
    <w:p w:rsidR="00530DC1" w:rsidRPr="00615421" w:rsidRDefault="00661D5B" w:rsidP="00530DC1">
      <w:pPr>
        <w:rPr>
          <w:b/>
          <w:sz w:val="24"/>
          <w:szCs w:val="24"/>
        </w:rPr>
      </w:pPr>
      <w:hyperlink r:id="rId17" w:tooltip="Accéder à La scolarisation des élèves en situation de handicap en Europe, nouvelle fenêtre" w:history="1">
        <w:r w:rsidR="00530DC1" w:rsidRPr="00615421">
          <w:rPr>
            <w:rStyle w:val="Lienhypertexte"/>
            <w:b/>
            <w:color w:val="auto"/>
            <w:sz w:val="24"/>
            <w:szCs w:val="24"/>
          </w:rPr>
          <w:t>Accéder à la notice et au(x) document(s) sur la base documentaire du Centre Ressources Recherche Appliquée et Handicap</w:t>
        </w:r>
        <w:r w:rsidR="005245D1" w:rsidRPr="00615421">
          <w:rPr>
            <w:rStyle w:val="Lienhypertexte"/>
            <w:b/>
            <w:color w:val="auto"/>
            <w:sz w:val="24"/>
            <w:szCs w:val="24"/>
          </w:rPr>
          <w:t>.</w:t>
        </w:r>
      </w:hyperlink>
    </w:p>
    <w:p w:rsidR="004947BE" w:rsidRDefault="004947BE" w:rsidP="00F601CE">
      <w:pPr>
        <w:rPr>
          <w:sz w:val="24"/>
          <w:szCs w:val="24"/>
        </w:rPr>
      </w:pPr>
    </w:p>
    <w:p w:rsidR="004947BE" w:rsidRPr="00356F83" w:rsidRDefault="004947BE" w:rsidP="00F601CE">
      <w:pPr>
        <w:rPr>
          <w:b/>
          <w:color w:val="E36C0A" w:themeColor="accent6" w:themeShade="BF"/>
          <w:sz w:val="24"/>
          <w:szCs w:val="24"/>
        </w:rPr>
      </w:pPr>
      <w:r w:rsidRPr="00356F83">
        <w:rPr>
          <w:b/>
          <w:color w:val="E36C0A" w:themeColor="accent6" w:themeShade="BF"/>
          <w:sz w:val="24"/>
          <w:szCs w:val="24"/>
        </w:rPr>
        <w:t>Mots clés</w:t>
      </w:r>
    </w:p>
    <w:p w:rsidR="004947BE" w:rsidRDefault="004947BE" w:rsidP="00F601CE">
      <w:pPr>
        <w:rPr>
          <w:sz w:val="24"/>
          <w:szCs w:val="24"/>
        </w:rPr>
      </w:pPr>
      <w:r>
        <w:rPr>
          <w:sz w:val="24"/>
          <w:szCs w:val="24"/>
        </w:rPr>
        <w:t>Education. Enfant et adolescent</w:t>
      </w:r>
      <w:r w:rsidR="001E72E4">
        <w:rPr>
          <w:sz w:val="24"/>
          <w:szCs w:val="24"/>
        </w:rPr>
        <w:t>. Législation nationale, européenne et Convention ONU.</w:t>
      </w:r>
    </w:p>
    <w:p w:rsidR="004947BE" w:rsidRDefault="004947BE" w:rsidP="00F601CE">
      <w:pPr>
        <w:rPr>
          <w:sz w:val="24"/>
          <w:szCs w:val="24"/>
        </w:rPr>
      </w:pPr>
    </w:p>
    <w:p w:rsidR="004947BE" w:rsidRPr="00356F83" w:rsidRDefault="004947BE" w:rsidP="00F601CE">
      <w:pPr>
        <w:rPr>
          <w:b/>
          <w:color w:val="E36C0A" w:themeColor="accent6" w:themeShade="BF"/>
          <w:sz w:val="24"/>
          <w:szCs w:val="24"/>
        </w:rPr>
      </w:pPr>
      <w:r w:rsidRPr="00356F83">
        <w:rPr>
          <w:b/>
          <w:color w:val="E36C0A" w:themeColor="accent6" w:themeShade="BF"/>
          <w:sz w:val="24"/>
          <w:szCs w:val="24"/>
        </w:rPr>
        <w:t xml:space="preserve">Résumé </w:t>
      </w:r>
    </w:p>
    <w:p w:rsidR="004947BE" w:rsidRDefault="004947BE" w:rsidP="00F601CE">
      <w:pPr>
        <w:rPr>
          <w:sz w:val="24"/>
          <w:szCs w:val="24"/>
        </w:rPr>
      </w:pPr>
      <w:r>
        <w:rPr>
          <w:sz w:val="24"/>
          <w:szCs w:val="24"/>
        </w:rPr>
        <w:t>Cette synthèse documentaire a été réalisée dans le cadre d’un dossier documentaire sur la scolarisation des enfants et adolescents en situation de handicap en Europe, élaboré en décembre 2011 par le ministère de l’Education nationale puis mise à jour en 2012. Après quelques éléments de cadrage, la première partie s’intéresse aux concepts d’éducation inclusive et de besoins éducatifs particuliers (BEP) en Europe. Elle esquisse également un aperçu, dans quelques pays européens, de la législation et des différentes définitions en matière de scolarisation des enfants et adolescents en situation de handicap. La deuxième partie propose un focus sur les pratiques en cours en matière de scolarisation des enfants et adolescents en situation de handicap dans certains pays européens : l’Allemagne, la Belgique, l’Italie, le Portugal, le Royaume-Uni (Angleterre) et la Suède.</w:t>
      </w:r>
    </w:p>
    <w:p w:rsidR="009F21FB" w:rsidRDefault="009F21FB" w:rsidP="00F601CE">
      <w:pPr>
        <w:rPr>
          <w:sz w:val="24"/>
          <w:szCs w:val="24"/>
        </w:rPr>
      </w:pPr>
    </w:p>
    <w:p w:rsidR="004947BE" w:rsidRPr="00356F83" w:rsidRDefault="004947BE" w:rsidP="00F601CE">
      <w:pPr>
        <w:rPr>
          <w:b/>
          <w:color w:val="E36C0A" w:themeColor="accent6" w:themeShade="BF"/>
          <w:sz w:val="24"/>
          <w:szCs w:val="24"/>
        </w:rPr>
      </w:pPr>
      <w:r w:rsidRPr="00356F83">
        <w:rPr>
          <w:b/>
          <w:color w:val="E36C0A" w:themeColor="accent6" w:themeShade="BF"/>
          <w:sz w:val="24"/>
          <w:szCs w:val="24"/>
        </w:rPr>
        <w:t>Commentaire</w:t>
      </w:r>
    </w:p>
    <w:p w:rsidR="00B20802" w:rsidRDefault="004947BE" w:rsidP="00F601CE">
      <w:pPr>
        <w:rPr>
          <w:sz w:val="24"/>
          <w:szCs w:val="24"/>
        </w:rPr>
      </w:pPr>
      <w:r>
        <w:rPr>
          <w:sz w:val="24"/>
          <w:szCs w:val="24"/>
        </w:rPr>
        <w:t xml:space="preserve">Cette synthèse documentaire concerne les différentes pratiques en matière d’inclusion scolaire dans plusieurs pays européens. Ce document n’est pas une recherche au sens stricte, mais il a été sélectionné pour la nature des différentes sources utilisées pour son élaboration. Son intérêt réside dans la présentation des grands concepts d’inclusion scolaire, ainsi que des différentes stratégies mises en œuvre dans les pays européens étudiés. Cette synthèse pourrait être complétée par une liste de recommandations à destination des instances gouvernementales, mais </w:t>
      </w:r>
      <w:r w:rsidR="00C12662">
        <w:rPr>
          <w:sz w:val="24"/>
          <w:szCs w:val="24"/>
        </w:rPr>
        <w:t>elle</w:t>
      </w:r>
      <w:r>
        <w:rPr>
          <w:sz w:val="24"/>
          <w:szCs w:val="24"/>
        </w:rPr>
        <w:t xml:space="preserve"> pourra tout de même être utile aux organisations impliquées dans l’inclusion scolaire des enfants handicapés en France et en Europe.</w:t>
      </w:r>
    </w:p>
    <w:p w:rsidR="009048CE" w:rsidRDefault="00B20802" w:rsidP="00CD391D">
      <w:pPr>
        <w:rPr>
          <w:sz w:val="24"/>
          <w:szCs w:val="24"/>
        </w:rPr>
      </w:pPr>
      <w:r>
        <w:rPr>
          <w:sz w:val="24"/>
          <w:szCs w:val="24"/>
        </w:rPr>
        <w:br w:type="page"/>
      </w:r>
    </w:p>
    <w:p w:rsidR="00AB6690" w:rsidRPr="00AB6690" w:rsidRDefault="00AB6690" w:rsidP="00AB6690">
      <w:pPr>
        <w:pStyle w:val="Titre3"/>
        <w:numPr>
          <w:ilvl w:val="0"/>
          <w:numId w:val="30"/>
        </w:numPr>
        <w:rPr>
          <w:b/>
        </w:rPr>
      </w:pPr>
      <w:bookmarkStart w:id="10" w:name="_Toc433121271"/>
      <w:r>
        <w:rPr>
          <w:b/>
        </w:rPr>
        <w:lastRenderedPageBreak/>
        <w:t xml:space="preserve">Fiche 2. </w:t>
      </w:r>
      <w:r w:rsidRPr="00AB6690">
        <w:rPr>
          <w:b/>
        </w:rPr>
        <w:t>La scolarisation des enfants en situation de handicap dans les pays européens. Quelles voies de réforme pour la France ?</w:t>
      </w:r>
      <w:bookmarkEnd w:id="10"/>
    </w:p>
    <w:p w:rsidR="00AB6690" w:rsidRDefault="00AB6690" w:rsidP="00CD391D">
      <w:pPr>
        <w:rPr>
          <w:sz w:val="24"/>
          <w:szCs w:val="24"/>
        </w:rPr>
      </w:pPr>
    </w:p>
    <w:p w:rsidR="004947BE" w:rsidRPr="00AB6690" w:rsidRDefault="004947BE" w:rsidP="00AB6690">
      <w:pPr>
        <w:rPr>
          <w:sz w:val="24"/>
        </w:rPr>
      </w:pPr>
      <w:r w:rsidRPr="00AB6690">
        <w:rPr>
          <w:sz w:val="24"/>
        </w:rPr>
        <w:t xml:space="preserve">Collombet C., </w:t>
      </w:r>
      <w:proofErr w:type="spellStart"/>
      <w:r w:rsidRPr="00AB6690">
        <w:rPr>
          <w:sz w:val="24"/>
        </w:rPr>
        <w:t>Malochet</w:t>
      </w:r>
      <w:proofErr w:type="spellEnd"/>
      <w:r w:rsidRPr="00AB6690">
        <w:rPr>
          <w:sz w:val="24"/>
        </w:rPr>
        <w:t xml:space="preserve"> G. La scolarisation des enfants en situation de handicap dans les pays européens. Quelles voies de réforme pour la France ? Centre d’analyse stratégique. 2013. 12p</w:t>
      </w:r>
    </w:p>
    <w:p w:rsidR="004947BE" w:rsidRDefault="004947BE" w:rsidP="00F601CE">
      <w:pPr>
        <w:rPr>
          <w:sz w:val="24"/>
          <w:szCs w:val="24"/>
        </w:rPr>
      </w:pPr>
    </w:p>
    <w:p w:rsidR="004947BE" w:rsidRPr="00615421" w:rsidRDefault="00661D5B" w:rsidP="004947BE">
      <w:pPr>
        <w:rPr>
          <w:b/>
          <w:sz w:val="24"/>
          <w:szCs w:val="24"/>
        </w:rPr>
      </w:pPr>
      <w:hyperlink r:id="rId18" w:tooltip="Accéder à La scolarisation des enfants en situation de handicap dans les pays européens, nouvelle fenêtre" w:history="1">
        <w:r w:rsidR="004947BE" w:rsidRPr="00615421">
          <w:rPr>
            <w:rStyle w:val="Lienhypertexte"/>
            <w:b/>
            <w:color w:val="auto"/>
            <w:sz w:val="24"/>
            <w:szCs w:val="24"/>
          </w:rPr>
          <w:t xml:space="preserve">Accéder à la notice </w:t>
        </w:r>
        <w:r w:rsidR="00530DC1" w:rsidRPr="00615421">
          <w:rPr>
            <w:rStyle w:val="Lienhypertexte"/>
            <w:b/>
            <w:color w:val="auto"/>
            <w:sz w:val="24"/>
            <w:szCs w:val="24"/>
          </w:rPr>
          <w:t xml:space="preserve">et au(x) document(s) </w:t>
        </w:r>
        <w:r w:rsidR="004947BE" w:rsidRPr="00615421">
          <w:rPr>
            <w:rStyle w:val="Lienhypertexte"/>
            <w:b/>
            <w:color w:val="auto"/>
            <w:sz w:val="24"/>
            <w:szCs w:val="24"/>
          </w:rPr>
          <w:t>sur la base documentaire du Centre Ressources Recherche Appliquée et Handicap</w:t>
        </w:r>
        <w:r w:rsidR="005245D1" w:rsidRPr="00615421">
          <w:rPr>
            <w:rStyle w:val="Lienhypertexte"/>
            <w:b/>
            <w:color w:val="auto"/>
            <w:sz w:val="24"/>
            <w:szCs w:val="24"/>
          </w:rPr>
          <w:t>.</w:t>
        </w:r>
      </w:hyperlink>
    </w:p>
    <w:p w:rsidR="004947BE" w:rsidRDefault="004947BE" w:rsidP="00F601CE">
      <w:pPr>
        <w:rPr>
          <w:sz w:val="24"/>
          <w:szCs w:val="24"/>
        </w:rPr>
      </w:pPr>
    </w:p>
    <w:p w:rsidR="00530DC1" w:rsidRPr="00356F83" w:rsidRDefault="00530DC1" w:rsidP="00F601CE">
      <w:pPr>
        <w:rPr>
          <w:b/>
          <w:color w:val="E36C0A" w:themeColor="accent6" w:themeShade="BF"/>
          <w:sz w:val="24"/>
          <w:szCs w:val="24"/>
        </w:rPr>
      </w:pPr>
      <w:r w:rsidRPr="00356F83">
        <w:rPr>
          <w:b/>
          <w:color w:val="E36C0A" w:themeColor="accent6" w:themeShade="BF"/>
          <w:sz w:val="24"/>
          <w:szCs w:val="24"/>
        </w:rPr>
        <w:t>Mots clés</w:t>
      </w:r>
    </w:p>
    <w:p w:rsidR="00530DC1" w:rsidRDefault="00530DC1" w:rsidP="00F601CE">
      <w:pPr>
        <w:rPr>
          <w:sz w:val="24"/>
          <w:szCs w:val="24"/>
        </w:rPr>
      </w:pPr>
      <w:r>
        <w:rPr>
          <w:sz w:val="24"/>
          <w:szCs w:val="24"/>
        </w:rPr>
        <w:t>Education. Enfant et adolescent.</w:t>
      </w:r>
      <w:r w:rsidR="001E72E4">
        <w:rPr>
          <w:sz w:val="24"/>
          <w:szCs w:val="24"/>
        </w:rPr>
        <w:t xml:space="preserve"> Législation nationale, européenne et Convention ONU.</w:t>
      </w:r>
    </w:p>
    <w:p w:rsidR="00530DC1" w:rsidRDefault="00530DC1" w:rsidP="00F601CE">
      <w:pPr>
        <w:rPr>
          <w:sz w:val="24"/>
          <w:szCs w:val="24"/>
        </w:rPr>
      </w:pPr>
    </w:p>
    <w:p w:rsidR="004947BE" w:rsidRPr="00356F83" w:rsidRDefault="00450C3D" w:rsidP="00F601CE">
      <w:pPr>
        <w:rPr>
          <w:b/>
          <w:color w:val="E36C0A" w:themeColor="accent6" w:themeShade="BF"/>
          <w:sz w:val="24"/>
          <w:szCs w:val="24"/>
        </w:rPr>
      </w:pPr>
      <w:r w:rsidRPr="00356F83">
        <w:rPr>
          <w:b/>
          <w:color w:val="E36C0A" w:themeColor="accent6" w:themeShade="BF"/>
          <w:sz w:val="24"/>
          <w:szCs w:val="24"/>
        </w:rPr>
        <w:t>Résumé de l’auteur</w:t>
      </w:r>
    </w:p>
    <w:p w:rsidR="00450C3D" w:rsidRPr="003C465C" w:rsidRDefault="00450C3D" w:rsidP="00450C3D">
      <w:pPr>
        <w:autoSpaceDE w:val="0"/>
        <w:autoSpaceDN w:val="0"/>
        <w:adjustRightInd w:val="0"/>
        <w:spacing w:line="240" w:lineRule="auto"/>
        <w:rPr>
          <w:rFonts w:cs="HelveticaNeueLT-MediumCond"/>
          <w:sz w:val="24"/>
          <w:szCs w:val="24"/>
        </w:rPr>
      </w:pPr>
      <w:r w:rsidRPr="003C465C">
        <w:rPr>
          <w:rFonts w:cs="HelveticaNeueLT-MediumCond"/>
          <w:sz w:val="24"/>
          <w:szCs w:val="24"/>
        </w:rPr>
        <w:t>S’appuyant sur une comparaison internationale des modes d’inclusion scolaire, cette note dégage des voies de réforme pour la France : le renforcement de l’évaluation de la performance des é</w:t>
      </w:r>
      <w:r>
        <w:rPr>
          <w:rFonts w:cs="HelveticaNeueLT-MediumCond"/>
          <w:sz w:val="24"/>
          <w:szCs w:val="24"/>
        </w:rPr>
        <w:t xml:space="preserve">lèves en situation de handicap ; </w:t>
      </w:r>
      <w:r w:rsidRPr="003C465C">
        <w:rPr>
          <w:rFonts w:cs="HelveticaNeueLT-MediumCond"/>
          <w:sz w:val="24"/>
          <w:szCs w:val="24"/>
        </w:rPr>
        <w:t>une révision de la répartition des rôles entre les MDPH, la communauté éducative et les familles dans l’élaboration du projet personnalisé de scolarisation ; et une amélioration des dispositifs de formation initiale et continue des enseignants en matière de handicap.</w:t>
      </w:r>
    </w:p>
    <w:p w:rsidR="00BD6365" w:rsidRDefault="00BD6365" w:rsidP="00F601CE">
      <w:pPr>
        <w:rPr>
          <w:sz w:val="24"/>
          <w:szCs w:val="24"/>
        </w:rPr>
      </w:pPr>
    </w:p>
    <w:p w:rsidR="00450C3D" w:rsidRPr="00356F83" w:rsidRDefault="00450C3D" w:rsidP="00F601CE">
      <w:pPr>
        <w:rPr>
          <w:b/>
          <w:color w:val="E36C0A" w:themeColor="accent6" w:themeShade="BF"/>
          <w:sz w:val="24"/>
          <w:szCs w:val="24"/>
        </w:rPr>
      </w:pPr>
      <w:r w:rsidRPr="00356F83">
        <w:rPr>
          <w:b/>
          <w:color w:val="E36C0A" w:themeColor="accent6" w:themeShade="BF"/>
          <w:sz w:val="24"/>
          <w:szCs w:val="24"/>
        </w:rPr>
        <w:t xml:space="preserve">Commentaire </w:t>
      </w:r>
    </w:p>
    <w:p w:rsidR="00450C3D" w:rsidRDefault="00450C3D" w:rsidP="00F601CE">
      <w:pPr>
        <w:rPr>
          <w:sz w:val="24"/>
          <w:szCs w:val="24"/>
        </w:rPr>
      </w:pPr>
      <w:r>
        <w:rPr>
          <w:sz w:val="24"/>
          <w:szCs w:val="24"/>
        </w:rPr>
        <w:t>Ce document n’est pas une recherche au sens stricte du terme, il s’agit d’une analyse de la situation des pays européens concernant l’éducation des enfants en situation de handicap. L’intérêt de cette note d’analyse repose sur la formulation de recommandations (destinées à la France), au regard de l’ensemble des dispositifs européens. Ce document pourra être particulièrement utile aux organisations ainsi qu’aux porteurs de projet.</w:t>
      </w:r>
    </w:p>
    <w:p w:rsidR="009048CE" w:rsidRDefault="00183DD5" w:rsidP="00CD391D">
      <w:pPr>
        <w:rPr>
          <w:sz w:val="24"/>
          <w:szCs w:val="24"/>
        </w:rPr>
      </w:pPr>
      <w:r>
        <w:rPr>
          <w:sz w:val="24"/>
          <w:szCs w:val="24"/>
        </w:rPr>
        <w:br w:type="page"/>
      </w:r>
    </w:p>
    <w:p w:rsidR="009F21FB" w:rsidRPr="00AB6690" w:rsidRDefault="00AB6690" w:rsidP="00AB6690">
      <w:pPr>
        <w:pStyle w:val="Titre3"/>
        <w:numPr>
          <w:ilvl w:val="0"/>
          <w:numId w:val="30"/>
        </w:numPr>
        <w:rPr>
          <w:b/>
          <w:lang w:val="en-US"/>
        </w:rPr>
      </w:pPr>
      <w:bookmarkStart w:id="11" w:name="_Toc433121272"/>
      <w:proofErr w:type="gramStart"/>
      <w:r w:rsidRPr="003E1710">
        <w:rPr>
          <w:b/>
          <w:lang w:val="en-US"/>
        </w:rPr>
        <w:lastRenderedPageBreak/>
        <w:t>Fiche 3</w:t>
      </w:r>
      <w:r>
        <w:rPr>
          <w:b/>
          <w:lang w:val="en-US"/>
        </w:rPr>
        <w:t>.</w:t>
      </w:r>
      <w:proofErr w:type="gramEnd"/>
      <w:r w:rsidRPr="00AB6690">
        <w:rPr>
          <w:b/>
          <w:lang w:val="en-US"/>
        </w:rPr>
        <w:t xml:space="preserve"> Inclusive education for young disabled people in Europe: trends, issues and challenges. A synthesis of evidence from ANED Country reports and additional sources</w:t>
      </w:r>
      <w:bookmarkEnd w:id="11"/>
    </w:p>
    <w:p w:rsidR="009F21FB" w:rsidRPr="00AB6690" w:rsidRDefault="009F21FB" w:rsidP="00CD391D">
      <w:pPr>
        <w:rPr>
          <w:sz w:val="24"/>
          <w:szCs w:val="24"/>
          <w:lang w:val="en-US"/>
        </w:rPr>
      </w:pPr>
    </w:p>
    <w:p w:rsidR="00530DC1" w:rsidRPr="00AB6690" w:rsidRDefault="00530DC1" w:rsidP="00AB6690">
      <w:pPr>
        <w:rPr>
          <w:sz w:val="24"/>
        </w:rPr>
      </w:pPr>
      <w:proofErr w:type="spellStart"/>
      <w:r w:rsidRPr="00AB6690">
        <w:rPr>
          <w:sz w:val="24"/>
          <w:lang w:val="en-US"/>
        </w:rPr>
        <w:t>Ebersold</w:t>
      </w:r>
      <w:proofErr w:type="spellEnd"/>
      <w:r w:rsidRPr="00AB6690">
        <w:rPr>
          <w:sz w:val="24"/>
          <w:lang w:val="en-US"/>
        </w:rPr>
        <w:t xml:space="preserve"> S. Inclusive education for young disabled people in Europe: trends, issues and challenges. </w:t>
      </w:r>
      <w:proofErr w:type="gramStart"/>
      <w:r w:rsidRPr="00AB6690">
        <w:rPr>
          <w:sz w:val="24"/>
          <w:lang w:val="en-US"/>
        </w:rPr>
        <w:t>A synthesis of evidence from ANED Country reports and additional sources.</w:t>
      </w:r>
      <w:proofErr w:type="gramEnd"/>
      <w:r w:rsidRPr="00AB6690">
        <w:rPr>
          <w:sz w:val="24"/>
          <w:lang w:val="en-US"/>
        </w:rPr>
        <w:t xml:space="preserve"> </w:t>
      </w:r>
      <w:r w:rsidRPr="00AB6690">
        <w:rPr>
          <w:sz w:val="24"/>
        </w:rPr>
        <w:t>ANED. 2011. 86p</w:t>
      </w:r>
    </w:p>
    <w:p w:rsidR="00530DC1" w:rsidRPr="00530DC1" w:rsidRDefault="00530DC1" w:rsidP="00F601CE">
      <w:pPr>
        <w:rPr>
          <w:sz w:val="24"/>
          <w:szCs w:val="24"/>
        </w:rPr>
      </w:pPr>
    </w:p>
    <w:p w:rsidR="00530DC1" w:rsidRPr="0008699B" w:rsidRDefault="00661D5B" w:rsidP="00530DC1">
      <w:pPr>
        <w:rPr>
          <w:b/>
          <w:sz w:val="24"/>
          <w:szCs w:val="24"/>
        </w:rPr>
      </w:pPr>
      <w:hyperlink r:id="rId19" w:tooltip="Accéder à Inclusive education for young isabled people in Europe, new window" w:history="1">
        <w:r w:rsidR="00530DC1" w:rsidRPr="0008699B">
          <w:rPr>
            <w:rStyle w:val="Lienhypertexte"/>
            <w:b/>
            <w:color w:val="auto"/>
            <w:sz w:val="24"/>
            <w:szCs w:val="24"/>
          </w:rPr>
          <w:t>Accéder à la notice et au(x) document(s) sur la base documentaire du Centre Ressources Recherche Appliquée et Handicap</w:t>
        </w:r>
        <w:r w:rsidR="005245D1" w:rsidRPr="0008699B">
          <w:rPr>
            <w:rStyle w:val="Lienhypertexte"/>
            <w:b/>
            <w:color w:val="auto"/>
            <w:sz w:val="24"/>
            <w:szCs w:val="24"/>
          </w:rPr>
          <w:t>.</w:t>
        </w:r>
      </w:hyperlink>
    </w:p>
    <w:p w:rsidR="009048CE" w:rsidRPr="00530DC1" w:rsidRDefault="009048CE" w:rsidP="00F601CE">
      <w:pPr>
        <w:rPr>
          <w:sz w:val="24"/>
          <w:szCs w:val="24"/>
        </w:rPr>
      </w:pPr>
    </w:p>
    <w:p w:rsidR="00530DC1" w:rsidRPr="00356F83" w:rsidRDefault="00530DC1" w:rsidP="00F601CE">
      <w:pPr>
        <w:rPr>
          <w:b/>
          <w:color w:val="E36C0A" w:themeColor="accent6" w:themeShade="BF"/>
          <w:sz w:val="24"/>
          <w:szCs w:val="24"/>
        </w:rPr>
      </w:pPr>
      <w:r w:rsidRPr="00356F83">
        <w:rPr>
          <w:b/>
          <w:color w:val="E36C0A" w:themeColor="accent6" w:themeShade="BF"/>
          <w:sz w:val="24"/>
          <w:szCs w:val="24"/>
        </w:rPr>
        <w:t>Mots clés</w:t>
      </w:r>
    </w:p>
    <w:p w:rsidR="00530DC1" w:rsidRDefault="00530DC1" w:rsidP="00F601CE">
      <w:pPr>
        <w:rPr>
          <w:sz w:val="24"/>
          <w:szCs w:val="24"/>
        </w:rPr>
      </w:pPr>
      <w:r>
        <w:rPr>
          <w:sz w:val="24"/>
          <w:szCs w:val="24"/>
        </w:rPr>
        <w:t>Education. Enfant et adolescent.</w:t>
      </w:r>
    </w:p>
    <w:p w:rsidR="00183DD5" w:rsidRPr="00530DC1" w:rsidRDefault="00183DD5" w:rsidP="00F601CE">
      <w:pPr>
        <w:rPr>
          <w:sz w:val="24"/>
          <w:szCs w:val="24"/>
        </w:rPr>
      </w:pPr>
    </w:p>
    <w:p w:rsidR="00530DC1" w:rsidRPr="003E1710" w:rsidRDefault="00530DC1" w:rsidP="00F601CE">
      <w:pPr>
        <w:rPr>
          <w:b/>
          <w:color w:val="E36C0A" w:themeColor="accent6" w:themeShade="BF"/>
          <w:sz w:val="24"/>
          <w:szCs w:val="24"/>
          <w:lang w:val="en-US"/>
        </w:rPr>
      </w:pPr>
      <w:r w:rsidRPr="003E1710">
        <w:rPr>
          <w:b/>
          <w:color w:val="E36C0A" w:themeColor="accent6" w:themeShade="BF"/>
          <w:sz w:val="24"/>
          <w:szCs w:val="24"/>
          <w:lang w:val="en-US"/>
        </w:rPr>
        <w:t xml:space="preserve">Résumé de </w:t>
      </w:r>
      <w:proofErr w:type="spellStart"/>
      <w:r w:rsidRPr="003E1710">
        <w:rPr>
          <w:b/>
          <w:color w:val="E36C0A" w:themeColor="accent6" w:themeShade="BF"/>
          <w:sz w:val="24"/>
          <w:szCs w:val="24"/>
          <w:lang w:val="en-US"/>
        </w:rPr>
        <w:t>l’auteur</w:t>
      </w:r>
      <w:proofErr w:type="spellEnd"/>
      <w:r w:rsidRPr="003E1710">
        <w:rPr>
          <w:b/>
          <w:color w:val="E36C0A" w:themeColor="accent6" w:themeShade="BF"/>
          <w:sz w:val="24"/>
          <w:szCs w:val="24"/>
          <w:lang w:val="en-US"/>
        </w:rPr>
        <w:t xml:space="preserve"> </w:t>
      </w:r>
    </w:p>
    <w:p w:rsidR="00530DC1" w:rsidRDefault="00530DC1" w:rsidP="00356F83">
      <w:pPr>
        <w:rPr>
          <w:sz w:val="24"/>
          <w:szCs w:val="24"/>
          <w:lang w:val="en-US"/>
        </w:rPr>
      </w:pPr>
      <w:r w:rsidRPr="00356F83">
        <w:rPr>
          <w:sz w:val="24"/>
          <w:szCs w:val="24"/>
          <w:lang w:val="en-US"/>
        </w:rPr>
        <w:t xml:space="preserve">The Academic Network of European Disability Experts (ANED) was established in 2008 by the European Commission to provide scientific support and advice for its disability policy unit. As part of its annual work </w:t>
      </w:r>
      <w:r w:rsidRPr="0099363E">
        <w:rPr>
          <w:sz w:val="24"/>
          <w:szCs w:val="24"/>
          <w:lang w:val="en-GB"/>
        </w:rPr>
        <w:t>programme</w:t>
      </w:r>
      <w:r w:rsidRPr="00356F83">
        <w:rPr>
          <w:sz w:val="24"/>
          <w:szCs w:val="24"/>
          <w:lang w:val="en-US"/>
        </w:rPr>
        <w:t>, ANED produces thematic reports on selected topics of significance to European policy making. In 2010 ANED commissioned country reports on national policies and implementation evidence on access, participation and outcomes in education and training for young disabled people.</w:t>
      </w:r>
    </w:p>
    <w:p w:rsidR="00310D5A" w:rsidRDefault="00310D5A" w:rsidP="00356F83">
      <w:pPr>
        <w:rPr>
          <w:sz w:val="24"/>
          <w:szCs w:val="24"/>
          <w:lang w:val="en-US"/>
        </w:rPr>
      </w:pPr>
    </w:p>
    <w:p w:rsidR="00310D5A" w:rsidRPr="0068254B" w:rsidRDefault="00310D5A" w:rsidP="00356F83">
      <w:pPr>
        <w:rPr>
          <w:sz w:val="24"/>
          <w:szCs w:val="24"/>
          <w:u w:val="single"/>
        </w:rPr>
      </w:pPr>
      <w:r w:rsidRPr="0068254B">
        <w:rPr>
          <w:sz w:val="24"/>
          <w:szCs w:val="24"/>
          <w:u w:val="single"/>
        </w:rPr>
        <w:t>Traduction du résumé :</w:t>
      </w:r>
    </w:p>
    <w:p w:rsidR="00310D5A" w:rsidRPr="00AC40A6" w:rsidRDefault="00AC40A6" w:rsidP="00356F83">
      <w:pPr>
        <w:rPr>
          <w:sz w:val="24"/>
          <w:szCs w:val="24"/>
        </w:rPr>
      </w:pPr>
      <w:r w:rsidRPr="00AC40A6">
        <w:rPr>
          <w:sz w:val="24"/>
          <w:szCs w:val="24"/>
        </w:rPr>
        <w:t>L’ANED (</w:t>
      </w:r>
      <w:proofErr w:type="spellStart"/>
      <w:r w:rsidRPr="00AC40A6">
        <w:rPr>
          <w:sz w:val="24"/>
          <w:szCs w:val="24"/>
        </w:rPr>
        <w:t>Academic</w:t>
      </w:r>
      <w:proofErr w:type="spellEnd"/>
      <w:r w:rsidRPr="00AC40A6">
        <w:rPr>
          <w:sz w:val="24"/>
          <w:szCs w:val="24"/>
        </w:rPr>
        <w:t xml:space="preserve"> Network of </w:t>
      </w:r>
      <w:proofErr w:type="spellStart"/>
      <w:r w:rsidRPr="00AC40A6">
        <w:rPr>
          <w:sz w:val="24"/>
          <w:szCs w:val="24"/>
        </w:rPr>
        <w:t>European</w:t>
      </w:r>
      <w:proofErr w:type="spellEnd"/>
      <w:r w:rsidRPr="00AC40A6">
        <w:rPr>
          <w:sz w:val="24"/>
          <w:szCs w:val="24"/>
        </w:rPr>
        <w:t xml:space="preserve"> </w:t>
      </w:r>
      <w:proofErr w:type="spellStart"/>
      <w:r w:rsidRPr="00AC40A6">
        <w:rPr>
          <w:sz w:val="24"/>
          <w:szCs w:val="24"/>
        </w:rPr>
        <w:t>Disability</w:t>
      </w:r>
      <w:proofErr w:type="spellEnd"/>
      <w:r w:rsidRPr="00AC40A6">
        <w:rPr>
          <w:sz w:val="24"/>
          <w:szCs w:val="24"/>
        </w:rPr>
        <w:t xml:space="preserve"> Experts) a été </w:t>
      </w:r>
      <w:r>
        <w:rPr>
          <w:sz w:val="24"/>
          <w:szCs w:val="24"/>
        </w:rPr>
        <w:t>institué</w:t>
      </w:r>
      <w:r w:rsidRPr="00AC40A6">
        <w:rPr>
          <w:sz w:val="24"/>
          <w:szCs w:val="24"/>
        </w:rPr>
        <w:t xml:space="preserve"> en 2008 par l</w:t>
      </w:r>
      <w:r>
        <w:rPr>
          <w:sz w:val="24"/>
          <w:szCs w:val="24"/>
        </w:rPr>
        <w:t>a Commission européenne pour fournir un support scientifique à son département dédié aux politiques du handicap. Dans le cadre de son programme annuel, l’ANED produit des rapports thématiques sur des thématiques identifiées pour leur importance dans l’élaboration des politiques européennes. En 2010, l’ANED a demandé que les rapports nationaux soient centrés s</w:t>
      </w:r>
      <w:r w:rsidR="0068254B">
        <w:rPr>
          <w:sz w:val="24"/>
          <w:szCs w:val="24"/>
        </w:rPr>
        <w:t>ur les politiques nationales, la mise en œuvre et les résultats concernant l’accès et la participation des personnes handicapées à l’éducation et à la formation.</w:t>
      </w:r>
    </w:p>
    <w:p w:rsidR="00530DC1" w:rsidRPr="00AC40A6" w:rsidRDefault="00530DC1" w:rsidP="00F601CE">
      <w:pPr>
        <w:rPr>
          <w:sz w:val="24"/>
          <w:szCs w:val="24"/>
        </w:rPr>
      </w:pPr>
    </w:p>
    <w:p w:rsidR="00530DC1" w:rsidRPr="00356F83" w:rsidRDefault="00530DC1" w:rsidP="00F601CE">
      <w:pPr>
        <w:rPr>
          <w:b/>
          <w:color w:val="E36C0A" w:themeColor="accent6" w:themeShade="BF"/>
          <w:sz w:val="24"/>
          <w:szCs w:val="24"/>
        </w:rPr>
      </w:pPr>
      <w:r w:rsidRPr="00356F83">
        <w:rPr>
          <w:b/>
          <w:color w:val="E36C0A" w:themeColor="accent6" w:themeShade="BF"/>
          <w:sz w:val="24"/>
          <w:szCs w:val="24"/>
        </w:rPr>
        <w:t>Commentaire</w:t>
      </w:r>
    </w:p>
    <w:p w:rsidR="00530DC1" w:rsidRPr="00530DC1" w:rsidRDefault="00530DC1" w:rsidP="00F601CE">
      <w:pPr>
        <w:rPr>
          <w:sz w:val="24"/>
          <w:szCs w:val="24"/>
        </w:rPr>
      </w:pPr>
      <w:r>
        <w:rPr>
          <w:sz w:val="24"/>
          <w:szCs w:val="24"/>
        </w:rPr>
        <w:t xml:space="preserve">Cette étude a été réalisée à partir de rapports des états membres de l’Union Européenne concernant l’éducation inclusive, mis en perspective avec les législations européennes et internationales. </w:t>
      </w:r>
      <w:r w:rsidR="00C12662">
        <w:rPr>
          <w:sz w:val="24"/>
          <w:szCs w:val="24"/>
        </w:rPr>
        <w:t>Elle</w:t>
      </w:r>
      <w:r>
        <w:rPr>
          <w:sz w:val="24"/>
          <w:szCs w:val="24"/>
        </w:rPr>
        <w:t xml:space="preserve"> a été sélectionné</w:t>
      </w:r>
      <w:r w:rsidR="00C12662">
        <w:rPr>
          <w:sz w:val="24"/>
          <w:szCs w:val="24"/>
        </w:rPr>
        <w:t>e</w:t>
      </w:r>
      <w:r>
        <w:rPr>
          <w:sz w:val="24"/>
          <w:szCs w:val="24"/>
        </w:rPr>
        <w:t xml:space="preserve"> car </w:t>
      </w:r>
      <w:r w:rsidR="00C12662">
        <w:rPr>
          <w:sz w:val="24"/>
          <w:szCs w:val="24"/>
        </w:rPr>
        <w:t>elle</w:t>
      </w:r>
      <w:r>
        <w:rPr>
          <w:sz w:val="24"/>
          <w:szCs w:val="24"/>
        </w:rPr>
        <w:t xml:space="preserve"> constitue une synthèse des pratiques des Etats membres et a été réalisé par un chercheur. </w:t>
      </w:r>
      <w:r w:rsidR="00C12662">
        <w:rPr>
          <w:sz w:val="24"/>
          <w:szCs w:val="24"/>
        </w:rPr>
        <w:t>Elle</w:t>
      </w:r>
      <w:r>
        <w:rPr>
          <w:sz w:val="24"/>
          <w:szCs w:val="24"/>
        </w:rPr>
        <w:t xml:space="preserve"> contient également une série de recommandations directement adressées aux gouvernements et à la Commission Européenne. </w:t>
      </w:r>
      <w:r w:rsidR="00C12662">
        <w:rPr>
          <w:sz w:val="24"/>
          <w:szCs w:val="24"/>
        </w:rPr>
        <w:t>Elle</w:t>
      </w:r>
      <w:r>
        <w:rPr>
          <w:sz w:val="24"/>
          <w:szCs w:val="24"/>
        </w:rPr>
        <w:t xml:space="preserve"> sera particulièrement utile aux acteurs impliqués dans la promotion et la mise en œuvre de l’éducation inclusive en France et en Europe.</w:t>
      </w:r>
    </w:p>
    <w:p w:rsidR="009048CE" w:rsidRDefault="009048CE" w:rsidP="00CD391D">
      <w:pPr>
        <w:rPr>
          <w:sz w:val="24"/>
          <w:szCs w:val="24"/>
        </w:rPr>
      </w:pPr>
    </w:p>
    <w:p w:rsidR="00AB6690" w:rsidRPr="00AB6690" w:rsidRDefault="00AB6690" w:rsidP="00AB6690">
      <w:pPr>
        <w:pStyle w:val="Titre3"/>
        <w:numPr>
          <w:ilvl w:val="0"/>
          <w:numId w:val="30"/>
        </w:numPr>
        <w:rPr>
          <w:b/>
          <w:lang w:val="en-US"/>
        </w:rPr>
      </w:pPr>
      <w:bookmarkStart w:id="12" w:name="_Toc433121273"/>
      <w:proofErr w:type="gramStart"/>
      <w:r w:rsidRPr="003E1710">
        <w:rPr>
          <w:b/>
          <w:lang w:val="en-US"/>
        </w:rPr>
        <w:lastRenderedPageBreak/>
        <w:t>Fiche 4</w:t>
      </w:r>
      <w:r w:rsidRPr="00AB6690">
        <w:rPr>
          <w:b/>
          <w:lang w:val="en-US"/>
        </w:rPr>
        <w:t>.</w:t>
      </w:r>
      <w:proofErr w:type="gramEnd"/>
      <w:r w:rsidRPr="00AB6690">
        <w:rPr>
          <w:b/>
          <w:lang w:val="en-US"/>
        </w:rPr>
        <w:t xml:space="preserve"> Education and disability/special needs, policies and practices in education, training and employment for students with disabilities and special educational needs in the EU</w:t>
      </w:r>
      <w:bookmarkEnd w:id="12"/>
    </w:p>
    <w:p w:rsidR="00AB6690" w:rsidRPr="00AB6690" w:rsidRDefault="00AB6690" w:rsidP="00CD391D">
      <w:pPr>
        <w:rPr>
          <w:sz w:val="24"/>
          <w:szCs w:val="24"/>
          <w:lang w:val="en-US"/>
        </w:rPr>
      </w:pPr>
    </w:p>
    <w:p w:rsidR="00656612" w:rsidRPr="009048CE" w:rsidRDefault="00656612" w:rsidP="00AB6690">
      <w:pPr>
        <w:rPr>
          <w:sz w:val="24"/>
        </w:rPr>
      </w:pPr>
      <w:r w:rsidRPr="009048CE">
        <w:rPr>
          <w:sz w:val="24"/>
          <w:lang w:val="en-US"/>
        </w:rPr>
        <w:t xml:space="preserve">Riddell S. Education and disability/special needs, policies and practices in education, training and employment for students with disabilities and special educational needs in the EU. </w:t>
      </w:r>
      <w:r w:rsidRPr="009048CE">
        <w:rPr>
          <w:sz w:val="24"/>
        </w:rPr>
        <w:t>NESSE. 2012. 95p</w:t>
      </w:r>
    </w:p>
    <w:p w:rsidR="00656612" w:rsidRPr="00567744" w:rsidRDefault="00656612" w:rsidP="00567744">
      <w:pPr>
        <w:pStyle w:val="Titre3"/>
      </w:pPr>
    </w:p>
    <w:p w:rsidR="00656612" w:rsidRPr="0008699B" w:rsidRDefault="00661D5B" w:rsidP="00656612">
      <w:pPr>
        <w:rPr>
          <w:b/>
          <w:sz w:val="24"/>
          <w:szCs w:val="24"/>
        </w:rPr>
      </w:pPr>
      <w:hyperlink r:id="rId20" w:tooltip="Accéder à Education and disability/special needs, policies and practices in education, training and employment for students with disabilities and special educational needs in the EU, nouvelle fenêtre" w:history="1">
        <w:r w:rsidR="00656612" w:rsidRPr="0008699B">
          <w:rPr>
            <w:rStyle w:val="Lienhypertexte"/>
            <w:b/>
            <w:color w:val="auto"/>
            <w:sz w:val="24"/>
            <w:szCs w:val="24"/>
          </w:rPr>
          <w:t>Accéder à la notice et au(x) document(s) sur la base documentaire du Centre Ressources Recherche Appliquée et Handicap</w:t>
        </w:r>
        <w:r w:rsidR="005245D1" w:rsidRPr="0008699B">
          <w:rPr>
            <w:rStyle w:val="Lienhypertexte"/>
            <w:b/>
            <w:color w:val="auto"/>
            <w:sz w:val="24"/>
            <w:szCs w:val="24"/>
          </w:rPr>
          <w:t>.</w:t>
        </w:r>
      </w:hyperlink>
    </w:p>
    <w:p w:rsidR="00656612" w:rsidRDefault="00656612" w:rsidP="00F601CE">
      <w:pPr>
        <w:rPr>
          <w:sz w:val="24"/>
          <w:szCs w:val="24"/>
        </w:rPr>
      </w:pPr>
    </w:p>
    <w:p w:rsidR="00656612" w:rsidRPr="005245D1" w:rsidRDefault="00656612" w:rsidP="00F601CE">
      <w:pPr>
        <w:rPr>
          <w:b/>
          <w:color w:val="E36C0A" w:themeColor="accent6" w:themeShade="BF"/>
          <w:sz w:val="24"/>
          <w:szCs w:val="24"/>
        </w:rPr>
      </w:pPr>
      <w:r w:rsidRPr="005245D1">
        <w:rPr>
          <w:b/>
          <w:color w:val="E36C0A" w:themeColor="accent6" w:themeShade="BF"/>
          <w:sz w:val="24"/>
          <w:szCs w:val="24"/>
        </w:rPr>
        <w:t>Mots clés</w:t>
      </w:r>
    </w:p>
    <w:p w:rsidR="00656612" w:rsidRDefault="00656612" w:rsidP="00F601CE">
      <w:pPr>
        <w:rPr>
          <w:sz w:val="24"/>
          <w:szCs w:val="24"/>
        </w:rPr>
      </w:pPr>
      <w:r>
        <w:rPr>
          <w:sz w:val="24"/>
          <w:szCs w:val="24"/>
        </w:rPr>
        <w:t>Education. Enfant et adolescent. Législation nationale, européenne et Convention ONU.</w:t>
      </w:r>
    </w:p>
    <w:p w:rsidR="00656612" w:rsidRDefault="00656612" w:rsidP="00F601CE">
      <w:pPr>
        <w:rPr>
          <w:sz w:val="24"/>
          <w:szCs w:val="24"/>
        </w:rPr>
      </w:pPr>
    </w:p>
    <w:p w:rsidR="00656612" w:rsidRPr="003E1710" w:rsidRDefault="00656612" w:rsidP="00F601CE">
      <w:pPr>
        <w:rPr>
          <w:b/>
          <w:color w:val="E36C0A" w:themeColor="accent6" w:themeShade="BF"/>
          <w:sz w:val="24"/>
          <w:szCs w:val="24"/>
          <w:lang w:val="en-US"/>
        </w:rPr>
      </w:pPr>
      <w:r w:rsidRPr="003E1710">
        <w:rPr>
          <w:b/>
          <w:color w:val="E36C0A" w:themeColor="accent6" w:themeShade="BF"/>
          <w:sz w:val="24"/>
          <w:szCs w:val="24"/>
          <w:lang w:val="en-US"/>
        </w:rPr>
        <w:t xml:space="preserve">Résumé de </w:t>
      </w:r>
      <w:proofErr w:type="spellStart"/>
      <w:r w:rsidRPr="003E1710">
        <w:rPr>
          <w:b/>
          <w:color w:val="E36C0A" w:themeColor="accent6" w:themeShade="BF"/>
          <w:sz w:val="24"/>
          <w:szCs w:val="24"/>
          <w:lang w:val="en-US"/>
        </w:rPr>
        <w:t>l’auteur</w:t>
      </w:r>
      <w:proofErr w:type="spellEnd"/>
    </w:p>
    <w:p w:rsidR="002301F6" w:rsidRDefault="002301F6" w:rsidP="00AE6BBF">
      <w:pPr>
        <w:autoSpaceDE w:val="0"/>
        <w:autoSpaceDN w:val="0"/>
        <w:adjustRightInd w:val="0"/>
        <w:rPr>
          <w:rFonts w:cs="Calibri"/>
          <w:sz w:val="24"/>
          <w:szCs w:val="24"/>
          <w:lang w:val="en-US"/>
        </w:rPr>
      </w:pPr>
      <w:r w:rsidRPr="00DA7553">
        <w:rPr>
          <w:rFonts w:cs="Calibri"/>
          <w:sz w:val="24"/>
          <w:szCs w:val="24"/>
          <w:lang w:val="en-US"/>
        </w:rPr>
        <w:t>This review analyses the position of children with special educational needs and adults with disabilities in different education systems and labor markets across Europe. Various methods have been used to</w:t>
      </w:r>
      <w:r>
        <w:rPr>
          <w:rFonts w:cs="Calibri"/>
          <w:sz w:val="24"/>
          <w:szCs w:val="24"/>
          <w:lang w:val="en-US"/>
        </w:rPr>
        <w:t xml:space="preserve"> </w:t>
      </w:r>
      <w:r w:rsidRPr="00DA7553">
        <w:rPr>
          <w:rFonts w:cs="Calibri"/>
          <w:sz w:val="24"/>
          <w:szCs w:val="24"/>
          <w:lang w:val="en-US"/>
        </w:rPr>
        <w:t>access research and statistical data on policy and practice relating to education and training for people with special educ</w:t>
      </w:r>
      <w:r w:rsidR="00183DD5">
        <w:rPr>
          <w:rFonts w:cs="Calibri"/>
          <w:sz w:val="24"/>
          <w:szCs w:val="24"/>
          <w:lang w:val="en-US"/>
        </w:rPr>
        <w:t xml:space="preserve">ational needs and disabilities. […] </w:t>
      </w:r>
      <w:r w:rsidRPr="00DA7553">
        <w:rPr>
          <w:rFonts w:cs="Calibri"/>
          <w:sz w:val="24"/>
          <w:szCs w:val="24"/>
          <w:lang w:val="en-US"/>
        </w:rPr>
        <w:t>In addition, a range of organizations and individuals working in the research and policy field were contacted to request information on their on-going work in the relevant domains.</w:t>
      </w:r>
    </w:p>
    <w:p w:rsidR="00656612" w:rsidRDefault="00656612" w:rsidP="00F601CE">
      <w:pPr>
        <w:rPr>
          <w:sz w:val="24"/>
          <w:szCs w:val="24"/>
          <w:lang w:val="en-US"/>
        </w:rPr>
      </w:pPr>
    </w:p>
    <w:p w:rsidR="0068254B" w:rsidRPr="0068254B" w:rsidRDefault="0068254B" w:rsidP="00F601CE">
      <w:pPr>
        <w:rPr>
          <w:sz w:val="24"/>
          <w:szCs w:val="24"/>
          <w:u w:val="single"/>
        </w:rPr>
      </w:pPr>
      <w:r w:rsidRPr="0068254B">
        <w:rPr>
          <w:sz w:val="24"/>
          <w:szCs w:val="24"/>
          <w:u w:val="single"/>
        </w:rPr>
        <w:t>Traduction du résumé :</w:t>
      </w:r>
    </w:p>
    <w:p w:rsidR="0068254B" w:rsidRDefault="0068254B" w:rsidP="00F601CE">
      <w:pPr>
        <w:rPr>
          <w:sz w:val="24"/>
          <w:szCs w:val="24"/>
        </w:rPr>
      </w:pPr>
      <w:r w:rsidRPr="0068254B">
        <w:rPr>
          <w:sz w:val="24"/>
          <w:szCs w:val="24"/>
        </w:rPr>
        <w:t>Ce rapport analyse la place des enfants ayant des besoins éducatifs particuliers et des adultes handicap</w:t>
      </w:r>
      <w:r w:rsidR="00183DD5">
        <w:rPr>
          <w:sz w:val="24"/>
          <w:szCs w:val="24"/>
        </w:rPr>
        <w:t>é</w:t>
      </w:r>
      <w:r w:rsidRPr="0068254B">
        <w:rPr>
          <w:sz w:val="24"/>
          <w:szCs w:val="24"/>
        </w:rPr>
        <w:t xml:space="preserve">s dans les différents systèmes et </w:t>
      </w:r>
      <w:r>
        <w:rPr>
          <w:sz w:val="24"/>
          <w:szCs w:val="24"/>
        </w:rPr>
        <w:t>marché</w:t>
      </w:r>
      <w:r w:rsidRPr="0068254B">
        <w:rPr>
          <w:sz w:val="24"/>
          <w:szCs w:val="24"/>
        </w:rPr>
        <w:t xml:space="preserve">s du travail européens. </w:t>
      </w:r>
      <w:r>
        <w:rPr>
          <w:sz w:val="24"/>
          <w:szCs w:val="24"/>
        </w:rPr>
        <w:t>Plusieurs méthodes ont été utilisée</w:t>
      </w:r>
      <w:r w:rsidR="00183DD5">
        <w:rPr>
          <w:sz w:val="24"/>
          <w:szCs w:val="24"/>
        </w:rPr>
        <w:t>s</w:t>
      </w:r>
      <w:r>
        <w:rPr>
          <w:sz w:val="24"/>
          <w:szCs w:val="24"/>
        </w:rPr>
        <w:t xml:space="preserve"> pour accéder aux recherches et bases de données sur les politiques et les pratiques en matière d’éducation et de formation pour les personnes handicapées ou ayant des besoins éducatifs particuliers. </w:t>
      </w:r>
      <w:r w:rsidR="00183DD5">
        <w:rPr>
          <w:sz w:val="24"/>
          <w:szCs w:val="24"/>
        </w:rPr>
        <w:t xml:space="preserve">[…] Pour compléter cette recherche, plusieurs personnes et organisations travaillant dans le domaine politique ou de la recherche, ont été contactées au sujet de leur travail et de leur implication dans la thématique choisie. </w:t>
      </w:r>
    </w:p>
    <w:p w:rsidR="00183DD5" w:rsidRPr="0068254B" w:rsidRDefault="00183DD5" w:rsidP="00F601CE">
      <w:pPr>
        <w:rPr>
          <w:sz w:val="24"/>
          <w:szCs w:val="24"/>
        </w:rPr>
      </w:pPr>
    </w:p>
    <w:p w:rsidR="005245D1" w:rsidRDefault="00656612" w:rsidP="00F601CE">
      <w:pPr>
        <w:rPr>
          <w:color w:val="E36C0A" w:themeColor="accent6" w:themeShade="BF"/>
          <w:sz w:val="24"/>
          <w:szCs w:val="24"/>
        </w:rPr>
      </w:pPr>
      <w:r w:rsidRPr="005245D1">
        <w:rPr>
          <w:b/>
          <w:color w:val="E36C0A" w:themeColor="accent6" w:themeShade="BF"/>
          <w:sz w:val="24"/>
          <w:szCs w:val="24"/>
        </w:rPr>
        <w:t xml:space="preserve">Commentaire </w:t>
      </w:r>
    </w:p>
    <w:p w:rsidR="004947BE" w:rsidRPr="00601060" w:rsidRDefault="00CD391D" w:rsidP="00F601CE">
      <w:pPr>
        <w:rPr>
          <w:b/>
          <w:color w:val="E36C0A" w:themeColor="accent6" w:themeShade="BF"/>
          <w:sz w:val="24"/>
          <w:szCs w:val="24"/>
        </w:rPr>
      </w:pPr>
      <w:r>
        <w:rPr>
          <w:sz w:val="24"/>
          <w:szCs w:val="24"/>
        </w:rPr>
        <w:t xml:space="preserve">L’intérêt principal de ce document réside dans la richesse des ressources utilisées pour son élaboration (rapports, données statistiques, documents législatifs, interviews de spécialistes). Il a été sélectionné car il présente de manière assez détaillée les subtilités dans la mise en œuvre d’une éducation inclusive dans les pays européens. Il contient également une série de recommandations à destination des Etats. Ce document sera particulièrement utile aux organisations, ainsi qu’aux chercheurs impliqués dans la thématique de l’inclusion scolaire, notamment en tant que source de données chiffrées et de recommandations. </w:t>
      </w:r>
    </w:p>
    <w:p w:rsidR="005B5D64" w:rsidRDefault="005B5D64" w:rsidP="00F601CE">
      <w:pPr>
        <w:rPr>
          <w:sz w:val="24"/>
          <w:szCs w:val="24"/>
        </w:rPr>
      </w:pPr>
    </w:p>
    <w:p w:rsidR="005B5D64" w:rsidRDefault="005B5D64" w:rsidP="005B5D64">
      <w:pPr>
        <w:pStyle w:val="Titre2"/>
      </w:pPr>
      <w:bookmarkStart w:id="13" w:name="_Toc433121274"/>
      <w:r>
        <w:lastRenderedPageBreak/>
        <w:t>Ressource(s) complémentaire(s)</w:t>
      </w:r>
      <w:r w:rsidR="00BD6365">
        <w:t xml:space="preserve"> sur la même thématique</w:t>
      </w:r>
      <w:bookmarkEnd w:id="13"/>
    </w:p>
    <w:p w:rsidR="005B5D64" w:rsidRPr="005B5D64" w:rsidRDefault="005B5D64" w:rsidP="005B5D64"/>
    <w:p w:rsidR="005B5D64" w:rsidRPr="0030638D" w:rsidRDefault="005B5D64" w:rsidP="005B5D64">
      <w:pPr>
        <w:pStyle w:val="Paragraphedeliste"/>
        <w:numPr>
          <w:ilvl w:val="0"/>
          <w:numId w:val="13"/>
        </w:numPr>
        <w:rPr>
          <w:b/>
          <w:sz w:val="24"/>
          <w:szCs w:val="24"/>
        </w:rPr>
      </w:pPr>
      <w:proofErr w:type="spellStart"/>
      <w:r w:rsidRPr="0030638D">
        <w:rPr>
          <w:b/>
          <w:sz w:val="24"/>
          <w:szCs w:val="24"/>
        </w:rPr>
        <w:t>Mostien-Resplendino</w:t>
      </w:r>
      <w:proofErr w:type="spellEnd"/>
      <w:r w:rsidRPr="0030638D">
        <w:rPr>
          <w:b/>
          <w:sz w:val="24"/>
          <w:szCs w:val="24"/>
        </w:rPr>
        <w:t xml:space="preserve"> I. La scolarisation des enfants en situation de handicap. Rapport comparatif France/Belgique et propositions. 2011. 17 pages</w:t>
      </w:r>
    </w:p>
    <w:p w:rsidR="005B5D64" w:rsidRDefault="005B5D64" w:rsidP="005B5D64">
      <w:pPr>
        <w:rPr>
          <w:sz w:val="24"/>
          <w:szCs w:val="24"/>
        </w:rPr>
      </w:pPr>
      <w:r>
        <w:rPr>
          <w:sz w:val="24"/>
          <w:szCs w:val="24"/>
        </w:rPr>
        <w:t>Ce rapport est destiné à comparer les situations de scolarisation des enfants autistes en France et en Belgique.</w:t>
      </w:r>
    </w:p>
    <w:p w:rsidR="00F601CE" w:rsidRPr="00F601CE" w:rsidRDefault="00F601CE" w:rsidP="005B5D64">
      <w:r w:rsidRPr="00F601CE">
        <w:br w:type="page"/>
      </w:r>
    </w:p>
    <w:p w:rsidR="00F601CE" w:rsidRPr="00F601CE" w:rsidRDefault="00F601CE" w:rsidP="00356F83">
      <w:pPr>
        <w:pStyle w:val="Titre1"/>
      </w:pPr>
      <w:bookmarkStart w:id="14" w:name="_Toc433121275"/>
      <w:r w:rsidRPr="00F601CE">
        <w:lastRenderedPageBreak/>
        <w:t>Emploi</w:t>
      </w:r>
      <w:bookmarkEnd w:id="14"/>
    </w:p>
    <w:p w:rsidR="00F601CE" w:rsidRPr="00F601CE" w:rsidRDefault="00F601CE" w:rsidP="00F601CE">
      <w:pPr>
        <w:rPr>
          <w:sz w:val="24"/>
          <w:szCs w:val="24"/>
        </w:rPr>
      </w:pPr>
    </w:p>
    <w:p w:rsidR="005E6002" w:rsidRPr="005E6002" w:rsidRDefault="005E6002" w:rsidP="005E6002">
      <w:pPr>
        <w:pStyle w:val="Citationintense"/>
        <w:rPr>
          <w:rFonts w:ascii="Calibri" w:hAnsi="Calibri"/>
          <w:b w:val="0"/>
          <w:i w:val="0"/>
          <w:color w:val="auto"/>
          <w:sz w:val="24"/>
          <w:szCs w:val="24"/>
        </w:rPr>
      </w:pPr>
      <w:r w:rsidRPr="005E6002">
        <w:rPr>
          <w:rFonts w:ascii="Calibri" w:hAnsi="Calibri"/>
          <w:b w:val="0"/>
          <w:i w:val="0"/>
          <w:color w:val="auto"/>
          <w:sz w:val="24"/>
          <w:szCs w:val="24"/>
        </w:rPr>
        <w:t>« Les États Parties reconnaissent aux personnes handicapées, sur la base de l’égalité avec les autres, le droit au travail, notamment à la possibilité de gagner leur vie en accomplissant un travail librement choisi ou accepté sur un marché du travail et dans un milieu de travail ouverts, favorisant l’inclusion et accessibles aux personnes handicapées. Ils garantissent et favorisent l’exercice du droit au travail, y compris pour ceux qui ont acquis un handicap en cours d’emploi, en prenant des mesures appropriées, y compris des mesures législatives […] »</w:t>
      </w:r>
      <w:r>
        <w:rPr>
          <w:rStyle w:val="Appelnotedebasdep"/>
          <w:rFonts w:ascii="Calibri" w:hAnsi="Calibri"/>
          <w:b w:val="0"/>
          <w:i w:val="0"/>
          <w:color w:val="auto"/>
          <w:sz w:val="24"/>
          <w:szCs w:val="24"/>
        </w:rPr>
        <w:footnoteReference w:id="7"/>
      </w:r>
      <w:r w:rsidR="00C020B3">
        <w:rPr>
          <w:rFonts w:ascii="Calibri" w:hAnsi="Calibri"/>
          <w:b w:val="0"/>
          <w:i w:val="0"/>
          <w:color w:val="auto"/>
          <w:sz w:val="24"/>
          <w:szCs w:val="24"/>
        </w:rPr>
        <w:t xml:space="preserve"> (Article 27 de la Convention des Nations Unies relative aux Droits des Personnes Handicapées.</w:t>
      </w:r>
    </w:p>
    <w:p w:rsidR="00B11DE2" w:rsidRDefault="00B11DE2" w:rsidP="005E6002">
      <w:pPr>
        <w:rPr>
          <w:sz w:val="24"/>
        </w:rPr>
      </w:pPr>
    </w:p>
    <w:p w:rsidR="005E6002" w:rsidRPr="005E6002" w:rsidRDefault="005E6002" w:rsidP="00D47AB9">
      <w:pPr>
        <w:pStyle w:val="Titre2"/>
        <w:pBdr>
          <w:left w:val="single" w:sz="4" w:space="4" w:color="auto"/>
          <w:bottom w:val="single" w:sz="4" w:space="1" w:color="auto"/>
        </w:pBdr>
        <w:jc w:val="center"/>
      </w:pPr>
      <w:bookmarkStart w:id="15" w:name="_Toc433121276"/>
      <w:r w:rsidRPr="005E6002">
        <w:t xml:space="preserve">Présentation </w:t>
      </w:r>
      <w:r w:rsidR="003D16F5">
        <w:t>des documents</w:t>
      </w:r>
      <w:bookmarkEnd w:id="15"/>
    </w:p>
    <w:p w:rsidR="005E6002" w:rsidRPr="005E6002" w:rsidRDefault="005E6002" w:rsidP="005E6002">
      <w:pPr>
        <w:rPr>
          <w:sz w:val="24"/>
        </w:rPr>
      </w:pPr>
    </w:p>
    <w:p w:rsidR="005E6002" w:rsidRDefault="005E6002" w:rsidP="005E6002">
      <w:pPr>
        <w:rPr>
          <w:sz w:val="24"/>
        </w:rPr>
      </w:pPr>
      <w:r w:rsidRPr="005E6002">
        <w:rPr>
          <w:sz w:val="24"/>
        </w:rPr>
        <w:t>Quatre études</w:t>
      </w:r>
      <w:r>
        <w:rPr>
          <w:sz w:val="24"/>
        </w:rPr>
        <w:t xml:space="preserve"> concernant l’emploi des personnes handicapées dans les pays de l’Union Européenne ont été sélectionnées comme étant particulièrement pertinentes au regard des notions qu’elles présentent. </w:t>
      </w:r>
    </w:p>
    <w:p w:rsidR="005E6002" w:rsidRDefault="005E6002" w:rsidP="005E6002">
      <w:pPr>
        <w:rPr>
          <w:sz w:val="24"/>
        </w:rPr>
      </w:pPr>
    </w:p>
    <w:p w:rsidR="005E6002" w:rsidRDefault="005E6002" w:rsidP="005E6002">
      <w:pPr>
        <w:rPr>
          <w:sz w:val="24"/>
        </w:rPr>
      </w:pPr>
      <w:r w:rsidRPr="003D16F5">
        <w:rPr>
          <w:sz w:val="24"/>
        </w:rPr>
        <w:t xml:space="preserve">Le rapport </w:t>
      </w:r>
      <w:proofErr w:type="spellStart"/>
      <w:r w:rsidRPr="003D16F5">
        <w:rPr>
          <w:sz w:val="24"/>
        </w:rPr>
        <w:t>Zero</w:t>
      </w:r>
      <w:proofErr w:type="spellEnd"/>
      <w:r w:rsidRPr="003D16F5">
        <w:rPr>
          <w:sz w:val="24"/>
        </w:rPr>
        <w:t xml:space="preserve"> Project de 2013, </w:t>
      </w:r>
      <w:r w:rsidR="00B11DE2" w:rsidRPr="00B11DE2">
        <w:rPr>
          <w:sz w:val="24"/>
        </w:rPr>
        <w:t>«</w:t>
      </w:r>
      <w:r w:rsidR="0099363E">
        <w:rPr>
          <w:sz w:val="24"/>
        </w:rPr>
        <w:t xml:space="preserve"> </w:t>
      </w:r>
      <w:r w:rsidRPr="00D47180">
        <w:rPr>
          <w:b/>
          <w:sz w:val="24"/>
        </w:rPr>
        <w:t xml:space="preserve">International </w:t>
      </w:r>
      <w:proofErr w:type="spellStart"/>
      <w:r w:rsidRPr="00D47180">
        <w:rPr>
          <w:b/>
          <w:sz w:val="24"/>
        </w:rPr>
        <w:t>study</w:t>
      </w:r>
      <w:proofErr w:type="spellEnd"/>
      <w:r w:rsidRPr="00D47180">
        <w:rPr>
          <w:b/>
          <w:sz w:val="24"/>
        </w:rPr>
        <w:t xml:space="preserve"> on the </w:t>
      </w:r>
      <w:proofErr w:type="spellStart"/>
      <w:r w:rsidRPr="00D47180">
        <w:rPr>
          <w:b/>
          <w:sz w:val="24"/>
        </w:rPr>
        <w:t>implementation</w:t>
      </w:r>
      <w:proofErr w:type="spellEnd"/>
      <w:r w:rsidRPr="00D47180">
        <w:rPr>
          <w:b/>
          <w:sz w:val="24"/>
        </w:rPr>
        <w:t xml:space="preserve"> of the UN Convention on the </w:t>
      </w:r>
      <w:proofErr w:type="spellStart"/>
      <w:r w:rsidRPr="00D47180">
        <w:rPr>
          <w:b/>
          <w:sz w:val="24"/>
        </w:rPr>
        <w:t>Rights</w:t>
      </w:r>
      <w:proofErr w:type="spellEnd"/>
      <w:r w:rsidRPr="00D47180">
        <w:rPr>
          <w:b/>
          <w:sz w:val="24"/>
        </w:rPr>
        <w:t xml:space="preserve"> of </w:t>
      </w:r>
      <w:proofErr w:type="spellStart"/>
      <w:r w:rsidRPr="00D47180">
        <w:rPr>
          <w:b/>
          <w:sz w:val="24"/>
        </w:rPr>
        <w:t>Persons</w:t>
      </w:r>
      <w:proofErr w:type="spellEnd"/>
      <w:r w:rsidRPr="00D47180">
        <w:rPr>
          <w:b/>
          <w:sz w:val="24"/>
        </w:rPr>
        <w:t xml:space="preserve"> </w:t>
      </w:r>
      <w:proofErr w:type="spellStart"/>
      <w:r w:rsidRPr="00D47180">
        <w:rPr>
          <w:b/>
          <w:sz w:val="24"/>
        </w:rPr>
        <w:t>with</w:t>
      </w:r>
      <w:proofErr w:type="spellEnd"/>
      <w:r w:rsidRPr="00D47180">
        <w:rPr>
          <w:b/>
          <w:sz w:val="24"/>
        </w:rPr>
        <w:t xml:space="preserve"> </w:t>
      </w:r>
      <w:proofErr w:type="spellStart"/>
      <w:r w:rsidRPr="00D47180">
        <w:rPr>
          <w:b/>
          <w:sz w:val="24"/>
        </w:rPr>
        <w:t>Disabilities</w:t>
      </w:r>
      <w:proofErr w:type="spellEnd"/>
      <w:r w:rsidR="0039236F">
        <w:rPr>
          <w:rStyle w:val="Appelnotedebasdep"/>
          <w:b/>
          <w:sz w:val="24"/>
        </w:rPr>
        <w:footnoteReference w:id="8"/>
      </w:r>
      <w:r w:rsidR="00B11DE2">
        <w:rPr>
          <w:sz w:val="24"/>
        </w:rPr>
        <w:t xml:space="preserve"> »</w:t>
      </w:r>
      <w:r w:rsidR="0039236F">
        <w:rPr>
          <w:sz w:val="24"/>
        </w:rPr>
        <w:t xml:space="preserve"> (Fiche 1)</w:t>
      </w:r>
      <w:r w:rsidR="003D16F5">
        <w:rPr>
          <w:sz w:val="24"/>
        </w:rPr>
        <w:t>, particulièrement centré sur l’emploi des personnes handicapées, a pour intérêt qu’il présente à la fois une étude de la situation ainsi que des exemples d’initiatives innovantes dans ce domaine.</w:t>
      </w:r>
    </w:p>
    <w:p w:rsidR="003D16F5" w:rsidRPr="00795522" w:rsidRDefault="003D16F5" w:rsidP="005E6002">
      <w:pPr>
        <w:rPr>
          <w:sz w:val="24"/>
        </w:rPr>
      </w:pPr>
    </w:p>
    <w:p w:rsidR="003D16F5" w:rsidRDefault="003D16F5" w:rsidP="005E6002">
      <w:pPr>
        <w:rPr>
          <w:sz w:val="24"/>
        </w:rPr>
      </w:pPr>
      <w:r w:rsidRPr="00EB14A8">
        <w:rPr>
          <w:sz w:val="24"/>
          <w:lang w:val="en-US"/>
        </w:rPr>
        <w:t xml:space="preserve">Les </w:t>
      </w:r>
      <w:proofErr w:type="spellStart"/>
      <w:r w:rsidRPr="00EB14A8">
        <w:rPr>
          <w:sz w:val="24"/>
          <w:lang w:val="en-US"/>
        </w:rPr>
        <w:t>études</w:t>
      </w:r>
      <w:proofErr w:type="spellEnd"/>
      <w:r w:rsidRPr="003D16F5">
        <w:rPr>
          <w:sz w:val="24"/>
          <w:lang w:val="en-US"/>
        </w:rPr>
        <w:t xml:space="preserve"> </w:t>
      </w:r>
      <w:r w:rsidRPr="0039236F">
        <w:rPr>
          <w:b/>
          <w:sz w:val="24"/>
          <w:lang w:val="en-US"/>
        </w:rPr>
        <w:t xml:space="preserve">« Supported employment for people with disabilities in the EU and EFTA-EEA: good practices and recommendations in support of a </w:t>
      </w:r>
      <w:proofErr w:type="spellStart"/>
      <w:r w:rsidRPr="0039236F">
        <w:rPr>
          <w:b/>
          <w:sz w:val="24"/>
          <w:lang w:val="en-US"/>
        </w:rPr>
        <w:t>flexicurity</w:t>
      </w:r>
      <w:proofErr w:type="spellEnd"/>
      <w:r w:rsidRPr="0039236F">
        <w:rPr>
          <w:b/>
          <w:sz w:val="24"/>
          <w:lang w:val="en-US"/>
        </w:rPr>
        <w:t xml:space="preserve"> approach</w:t>
      </w:r>
      <w:r w:rsidR="0039236F">
        <w:rPr>
          <w:rStyle w:val="Appelnotedebasdep"/>
          <w:b/>
          <w:sz w:val="24"/>
          <w:lang w:val="en-US"/>
        </w:rPr>
        <w:footnoteReference w:id="9"/>
      </w:r>
      <w:r w:rsidR="0099363E">
        <w:rPr>
          <w:sz w:val="24"/>
          <w:lang w:val="en-US"/>
        </w:rPr>
        <w:t xml:space="preserve"> </w:t>
      </w:r>
      <w:r w:rsidR="00B11DE2" w:rsidRPr="00B11DE2">
        <w:rPr>
          <w:sz w:val="24"/>
          <w:lang w:val="en-US"/>
        </w:rPr>
        <w:t>»</w:t>
      </w:r>
      <w:r>
        <w:rPr>
          <w:sz w:val="24"/>
          <w:lang w:val="en-US"/>
        </w:rPr>
        <w:t xml:space="preserve"> </w:t>
      </w:r>
      <w:r w:rsidR="0039236F">
        <w:rPr>
          <w:sz w:val="24"/>
          <w:lang w:val="en-US"/>
        </w:rPr>
        <w:t xml:space="preserve">(Fiche 2) </w:t>
      </w:r>
      <w:r>
        <w:rPr>
          <w:sz w:val="24"/>
          <w:lang w:val="en-US"/>
        </w:rPr>
        <w:t xml:space="preserve">et </w:t>
      </w:r>
      <w:r w:rsidR="00B11DE2" w:rsidRPr="00B11DE2">
        <w:rPr>
          <w:sz w:val="24"/>
          <w:lang w:val="en-US"/>
        </w:rPr>
        <w:t>«</w:t>
      </w:r>
      <w:r w:rsidR="0099363E">
        <w:rPr>
          <w:sz w:val="24"/>
          <w:lang w:val="en-US"/>
        </w:rPr>
        <w:t> </w:t>
      </w:r>
      <w:r w:rsidRPr="0039236F">
        <w:rPr>
          <w:b/>
          <w:sz w:val="24"/>
          <w:lang w:val="en-US"/>
        </w:rPr>
        <w:t>Compendium of good practices: supported employment for people with disabilities in the EU and EFTA-EEA</w:t>
      </w:r>
      <w:r w:rsidR="0039236F">
        <w:rPr>
          <w:rStyle w:val="Appelnotedebasdep"/>
          <w:b/>
          <w:sz w:val="24"/>
          <w:lang w:val="en-US"/>
        </w:rPr>
        <w:footnoteReference w:id="10"/>
      </w:r>
      <w:r w:rsidR="00B11DE2">
        <w:rPr>
          <w:sz w:val="24"/>
          <w:lang w:val="en-US"/>
        </w:rPr>
        <w:t xml:space="preserve"> </w:t>
      </w:r>
      <w:r w:rsidR="00B11DE2" w:rsidRPr="00B11DE2">
        <w:rPr>
          <w:sz w:val="24"/>
          <w:lang w:val="en-US"/>
        </w:rPr>
        <w:t>»</w:t>
      </w:r>
      <w:r>
        <w:rPr>
          <w:sz w:val="24"/>
          <w:lang w:val="en-US"/>
        </w:rPr>
        <w:t xml:space="preserve"> </w:t>
      </w:r>
      <w:r w:rsidR="0039236F">
        <w:rPr>
          <w:sz w:val="24"/>
          <w:lang w:val="en-US"/>
        </w:rPr>
        <w:t xml:space="preserve">(Fiche 3) </w:t>
      </w:r>
      <w:proofErr w:type="spellStart"/>
      <w:r w:rsidRPr="00EB14A8">
        <w:rPr>
          <w:sz w:val="24"/>
          <w:lang w:val="en-US"/>
        </w:rPr>
        <w:t>réalisées</w:t>
      </w:r>
      <w:proofErr w:type="spellEnd"/>
      <w:r w:rsidRPr="00EB14A8">
        <w:rPr>
          <w:sz w:val="24"/>
          <w:lang w:val="en-US"/>
        </w:rPr>
        <w:t xml:space="preserve"> par COWI </w:t>
      </w:r>
      <w:proofErr w:type="spellStart"/>
      <w:r w:rsidRPr="00EB14A8">
        <w:rPr>
          <w:sz w:val="24"/>
          <w:lang w:val="en-US"/>
        </w:rPr>
        <w:t>sont</w:t>
      </w:r>
      <w:proofErr w:type="spellEnd"/>
      <w:r w:rsidRPr="00EB14A8">
        <w:rPr>
          <w:sz w:val="24"/>
          <w:lang w:val="en-US"/>
        </w:rPr>
        <w:t xml:space="preserve"> </w:t>
      </w:r>
      <w:proofErr w:type="spellStart"/>
      <w:r w:rsidRPr="00EB14A8">
        <w:rPr>
          <w:sz w:val="24"/>
          <w:lang w:val="en-US"/>
        </w:rPr>
        <w:t>complémentaires</w:t>
      </w:r>
      <w:proofErr w:type="spellEnd"/>
      <w:r w:rsidRPr="00EB14A8">
        <w:rPr>
          <w:sz w:val="24"/>
          <w:lang w:val="en-US"/>
        </w:rPr>
        <w:t>.</w:t>
      </w:r>
      <w:r>
        <w:rPr>
          <w:sz w:val="24"/>
          <w:lang w:val="en-US"/>
        </w:rPr>
        <w:t xml:space="preserve"> </w:t>
      </w:r>
      <w:r w:rsidRPr="003D16F5">
        <w:rPr>
          <w:sz w:val="24"/>
        </w:rPr>
        <w:t xml:space="preserve">Elles permettent d’appréhender la notion de </w:t>
      </w:r>
      <w:proofErr w:type="spellStart"/>
      <w:r w:rsidRPr="003D16F5">
        <w:rPr>
          <w:sz w:val="24"/>
        </w:rPr>
        <w:t>flexisécurité</w:t>
      </w:r>
      <w:proofErr w:type="spellEnd"/>
      <w:r w:rsidRPr="003D16F5">
        <w:rPr>
          <w:sz w:val="24"/>
        </w:rPr>
        <w:t xml:space="preserve"> et apportent de nombreux éclairages sur l’emploi accompagné. </w:t>
      </w:r>
      <w:r>
        <w:rPr>
          <w:sz w:val="24"/>
        </w:rPr>
        <w:t xml:space="preserve">Tandis que le premier document </w:t>
      </w:r>
      <w:r w:rsidR="00B11DE2">
        <w:rPr>
          <w:sz w:val="24"/>
        </w:rPr>
        <w:t>présente les résultats de l’étude, le second présente les pratiques encourageantes mises en place en Europe.</w:t>
      </w:r>
    </w:p>
    <w:p w:rsidR="00B11DE2" w:rsidRDefault="00B11DE2" w:rsidP="005E6002">
      <w:pPr>
        <w:rPr>
          <w:sz w:val="24"/>
        </w:rPr>
      </w:pPr>
    </w:p>
    <w:p w:rsidR="0039236F" w:rsidRDefault="00B11DE2">
      <w:pPr>
        <w:rPr>
          <w:sz w:val="24"/>
        </w:rPr>
      </w:pPr>
      <w:r w:rsidRPr="00B11DE2">
        <w:rPr>
          <w:sz w:val="24"/>
        </w:rPr>
        <w:t>Enfin, « </w:t>
      </w:r>
      <w:r w:rsidRPr="0039236F">
        <w:rPr>
          <w:b/>
          <w:sz w:val="24"/>
        </w:rPr>
        <w:t xml:space="preserve">The labour </w:t>
      </w:r>
      <w:proofErr w:type="spellStart"/>
      <w:r w:rsidRPr="0039236F">
        <w:rPr>
          <w:b/>
          <w:sz w:val="24"/>
        </w:rPr>
        <w:t>market</w:t>
      </w:r>
      <w:proofErr w:type="spellEnd"/>
      <w:r w:rsidRPr="0039236F">
        <w:rPr>
          <w:b/>
          <w:sz w:val="24"/>
        </w:rPr>
        <w:t xml:space="preserve"> situation of </w:t>
      </w:r>
      <w:proofErr w:type="spellStart"/>
      <w:r w:rsidRPr="0039236F">
        <w:rPr>
          <w:b/>
          <w:sz w:val="24"/>
        </w:rPr>
        <w:t>disabled</w:t>
      </w:r>
      <w:proofErr w:type="spellEnd"/>
      <w:r w:rsidRPr="0039236F">
        <w:rPr>
          <w:b/>
          <w:sz w:val="24"/>
        </w:rPr>
        <w:t xml:space="preserve"> people in </w:t>
      </w:r>
      <w:proofErr w:type="spellStart"/>
      <w:r w:rsidRPr="0039236F">
        <w:rPr>
          <w:b/>
          <w:sz w:val="24"/>
        </w:rPr>
        <w:t>European</w:t>
      </w:r>
      <w:proofErr w:type="spellEnd"/>
      <w:r w:rsidRPr="0039236F">
        <w:rPr>
          <w:b/>
          <w:sz w:val="24"/>
        </w:rPr>
        <w:t xml:space="preserve"> countries and </w:t>
      </w:r>
      <w:proofErr w:type="spellStart"/>
      <w:r w:rsidRPr="0039236F">
        <w:rPr>
          <w:b/>
          <w:sz w:val="24"/>
        </w:rPr>
        <w:t>implementation</w:t>
      </w:r>
      <w:proofErr w:type="spellEnd"/>
      <w:r w:rsidRPr="0039236F">
        <w:rPr>
          <w:b/>
          <w:sz w:val="24"/>
        </w:rPr>
        <w:t xml:space="preserve"> of </w:t>
      </w:r>
      <w:proofErr w:type="spellStart"/>
      <w:r w:rsidRPr="0039236F">
        <w:rPr>
          <w:b/>
          <w:sz w:val="24"/>
        </w:rPr>
        <w:t>employment</w:t>
      </w:r>
      <w:proofErr w:type="spellEnd"/>
      <w:r w:rsidRPr="0039236F">
        <w:rPr>
          <w:b/>
          <w:sz w:val="24"/>
        </w:rPr>
        <w:t xml:space="preserve"> </w:t>
      </w:r>
      <w:proofErr w:type="spellStart"/>
      <w:r w:rsidRPr="0039236F">
        <w:rPr>
          <w:b/>
          <w:sz w:val="24"/>
        </w:rPr>
        <w:t>policies</w:t>
      </w:r>
      <w:proofErr w:type="spellEnd"/>
      <w:r w:rsidRPr="0039236F">
        <w:rPr>
          <w:b/>
          <w:sz w:val="24"/>
        </w:rPr>
        <w:t xml:space="preserve">: </w:t>
      </w:r>
      <w:proofErr w:type="spellStart"/>
      <w:r w:rsidRPr="0039236F">
        <w:rPr>
          <w:b/>
          <w:sz w:val="24"/>
        </w:rPr>
        <w:t>a</w:t>
      </w:r>
      <w:proofErr w:type="spellEnd"/>
      <w:r w:rsidRPr="0039236F">
        <w:rPr>
          <w:b/>
          <w:sz w:val="24"/>
        </w:rPr>
        <w:t xml:space="preserve"> </w:t>
      </w:r>
      <w:proofErr w:type="spellStart"/>
      <w:r w:rsidRPr="0039236F">
        <w:rPr>
          <w:b/>
          <w:sz w:val="24"/>
        </w:rPr>
        <w:t>summary</w:t>
      </w:r>
      <w:proofErr w:type="spellEnd"/>
      <w:r w:rsidRPr="0039236F">
        <w:rPr>
          <w:b/>
          <w:sz w:val="24"/>
        </w:rPr>
        <w:t xml:space="preserve"> of </w:t>
      </w:r>
      <w:proofErr w:type="spellStart"/>
      <w:r w:rsidRPr="0039236F">
        <w:rPr>
          <w:b/>
          <w:sz w:val="24"/>
        </w:rPr>
        <w:t>evidence</w:t>
      </w:r>
      <w:proofErr w:type="spellEnd"/>
      <w:r w:rsidRPr="0039236F">
        <w:rPr>
          <w:b/>
          <w:sz w:val="24"/>
        </w:rPr>
        <w:t xml:space="preserve"> </w:t>
      </w:r>
      <w:proofErr w:type="spellStart"/>
      <w:r w:rsidRPr="0039236F">
        <w:rPr>
          <w:b/>
          <w:sz w:val="24"/>
        </w:rPr>
        <w:t>from</w:t>
      </w:r>
      <w:proofErr w:type="spellEnd"/>
      <w:r w:rsidRPr="0039236F">
        <w:rPr>
          <w:b/>
          <w:sz w:val="24"/>
        </w:rPr>
        <w:t xml:space="preserve"> country reports and </w:t>
      </w:r>
      <w:proofErr w:type="spellStart"/>
      <w:r w:rsidRPr="0039236F">
        <w:rPr>
          <w:b/>
          <w:sz w:val="24"/>
        </w:rPr>
        <w:t>research</w:t>
      </w:r>
      <w:proofErr w:type="spellEnd"/>
      <w:r w:rsidRPr="0039236F">
        <w:rPr>
          <w:b/>
          <w:sz w:val="24"/>
        </w:rPr>
        <w:t xml:space="preserve"> </w:t>
      </w:r>
      <w:proofErr w:type="spellStart"/>
      <w:r w:rsidRPr="0039236F">
        <w:rPr>
          <w:b/>
          <w:sz w:val="24"/>
        </w:rPr>
        <w:t>studies</w:t>
      </w:r>
      <w:proofErr w:type="spellEnd"/>
      <w:r w:rsidR="0039236F">
        <w:rPr>
          <w:rStyle w:val="Appelnotedebasdep"/>
          <w:b/>
          <w:sz w:val="24"/>
        </w:rPr>
        <w:footnoteReference w:id="11"/>
      </w:r>
      <w:r w:rsidRPr="00B11DE2">
        <w:rPr>
          <w:sz w:val="24"/>
        </w:rPr>
        <w:t> »</w:t>
      </w:r>
      <w:r w:rsidR="0039236F">
        <w:rPr>
          <w:sz w:val="24"/>
        </w:rPr>
        <w:t xml:space="preserve"> (Fiche 4)</w:t>
      </w:r>
      <w:r w:rsidRPr="00B11DE2">
        <w:rPr>
          <w:sz w:val="24"/>
        </w:rPr>
        <w:t>, réalisé par l’ANED contient des données statistiques ainsi que de nombreuses informations sur les politiques mise</w:t>
      </w:r>
      <w:r>
        <w:rPr>
          <w:sz w:val="24"/>
        </w:rPr>
        <w:t>s</w:t>
      </w:r>
      <w:r w:rsidRPr="00B11DE2">
        <w:rPr>
          <w:sz w:val="24"/>
        </w:rPr>
        <w:t xml:space="preserve"> en place en Europe concernant l’emploi.</w:t>
      </w:r>
    </w:p>
    <w:p w:rsidR="0039236F" w:rsidRDefault="0039236F" w:rsidP="006019F3">
      <w:pPr>
        <w:spacing w:line="720" w:lineRule="auto"/>
        <w:rPr>
          <w:sz w:val="24"/>
        </w:rPr>
      </w:pPr>
    </w:p>
    <w:p w:rsidR="00B11DE2" w:rsidRPr="00B11DE2" w:rsidRDefault="00D47AB9" w:rsidP="00D47AB9">
      <w:pPr>
        <w:pStyle w:val="Titre2"/>
        <w:pBdr>
          <w:left w:val="single" w:sz="4" w:space="4" w:color="auto"/>
          <w:bottom w:val="single" w:sz="4" w:space="1" w:color="auto"/>
        </w:pBdr>
        <w:jc w:val="center"/>
      </w:pPr>
      <w:bookmarkStart w:id="16" w:name="_Toc433121277"/>
      <w:r>
        <w:t>Eléments</w:t>
      </w:r>
      <w:r w:rsidR="00B11DE2">
        <w:t xml:space="preserve"> de contenu</w:t>
      </w:r>
      <w:bookmarkEnd w:id="16"/>
    </w:p>
    <w:p w:rsidR="005E6002" w:rsidRPr="00B11DE2" w:rsidRDefault="005E6002" w:rsidP="005E6002">
      <w:pPr>
        <w:rPr>
          <w:sz w:val="24"/>
        </w:rPr>
      </w:pPr>
    </w:p>
    <w:p w:rsidR="00B11DE2" w:rsidRPr="0039236F" w:rsidRDefault="00D47AB9" w:rsidP="00D47AB9">
      <w:pPr>
        <w:pStyle w:val="Titre3"/>
        <w:rPr>
          <w:u w:val="single"/>
        </w:rPr>
      </w:pPr>
      <w:bookmarkStart w:id="17" w:name="_Toc433121278"/>
      <w:r w:rsidRPr="0039236F">
        <w:rPr>
          <w:u w:val="single"/>
        </w:rPr>
        <w:t xml:space="preserve">Cadre </w:t>
      </w:r>
      <w:r w:rsidR="00BB4467" w:rsidRPr="0039236F">
        <w:rPr>
          <w:u w:val="single"/>
        </w:rPr>
        <w:t>de référence international</w:t>
      </w:r>
      <w:bookmarkEnd w:id="17"/>
      <w:r w:rsidRPr="0039236F">
        <w:rPr>
          <w:u w:val="single"/>
        </w:rPr>
        <w:t xml:space="preserve"> </w:t>
      </w:r>
    </w:p>
    <w:p w:rsidR="00B11DE2" w:rsidRDefault="00B11DE2" w:rsidP="005E6002">
      <w:pPr>
        <w:rPr>
          <w:sz w:val="24"/>
        </w:rPr>
      </w:pPr>
    </w:p>
    <w:p w:rsidR="00B11DE2" w:rsidRDefault="00D47AB9" w:rsidP="005E6002">
      <w:pPr>
        <w:rPr>
          <w:sz w:val="24"/>
        </w:rPr>
      </w:pPr>
      <w:r>
        <w:rPr>
          <w:sz w:val="24"/>
        </w:rPr>
        <w:t>Faire état du cadre officiel concernant l’emploi des personnes handicapées en Europe, permettra de rendre compte des différents types de textes abordant cette question, et de pouvoir situer de manière pertinente les pays présentés pour leurs bonnes pratiques.</w:t>
      </w:r>
    </w:p>
    <w:p w:rsidR="00D47AB9" w:rsidRDefault="00D47AB9" w:rsidP="005E6002">
      <w:pPr>
        <w:rPr>
          <w:sz w:val="24"/>
        </w:rPr>
      </w:pPr>
    </w:p>
    <w:p w:rsidR="00D47AB9" w:rsidRPr="0079305C" w:rsidRDefault="00D47AB9" w:rsidP="00D47AB9">
      <w:pPr>
        <w:pStyle w:val="Paragraphedeliste"/>
        <w:numPr>
          <w:ilvl w:val="0"/>
          <w:numId w:val="22"/>
        </w:numPr>
        <w:rPr>
          <w:b/>
          <w:sz w:val="24"/>
        </w:rPr>
      </w:pPr>
      <w:r w:rsidRPr="0079305C">
        <w:rPr>
          <w:b/>
          <w:sz w:val="24"/>
        </w:rPr>
        <w:t xml:space="preserve">Textes </w:t>
      </w:r>
      <w:r w:rsidR="006E1CCE">
        <w:rPr>
          <w:b/>
          <w:sz w:val="24"/>
        </w:rPr>
        <w:t>de référence</w:t>
      </w:r>
    </w:p>
    <w:p w:rsidR="00D47AB9" w:rsidRDefault="00D47AB9" w:rsidP="00D47AB9">
      <w:pPr>
        <w:rPr>
          <w:sz w:val="24"/>
        </w:rPr>
      </w:pPr>
    </w:p>
    <w:p w:rsidR="00D47AB9" w:rsidRDefault="00811B06" w:rsidP="00D47AB9">
      <w:pPr>
        <w:rPr>
          <w:sz w:val="24"/>
        </w:rPr>
      </w:pPr>
      <w:r>
        <w:rPr>
          <w:sz w:val="24"/>
        </w:rPr>
        <w:t xml:space="preserve">L’article 26 de la </w:t>
      </w:r>
      <w:r w:rsidRPr="0079305C">
        <w:rPr>
          <w:b/>
          <w:sz w:val="24"/>
        </w:rPr>
        <w:t>Charte des droits fondamentaux de l’Union Européenne</w:t>
      </w:r>
      <w:r>
        <w:rPr>
          <w:rStyle w:val="Appelnotedebasdep"/>
          <w:sz w:val="24"/>
        </w:rPr>
        <w:footnoteReference w:id="12"/>
      </w:r>
      <w:r>
        <w:rPr>
          <w:sz w:val="24"/>
        </w:rPr>
        <w:t xml:space="preserve"> sur l’intégration des personnes handicapées stipule que « L’Union reconnaît et respecte le droit des personnes handicapées à bénéficier de mesures visant à assurer leur autonomie, leur intégration sociale et professionnelle et leur participation à la vie de la communauté ». Ce texte a la même valeur juridique qu’un traité.</w:t>
      </w:r>
    </w:p>
    <w:p w:rsidR="00811B06" w:rsidRDefault="00811B06" w:rsidP="00D47AB9">
      <w:pPr>
        <w:rPr>
          <w:sz w:val="24"/>
        </w:rPr>
      </w:pPr>
    </w:p>
    <w:p w:rsidR="00811B06" w:rsidRDefault="00811B06" w:rsidP="00D47AB9">
      <w:pPr>
        <w:rPr>
          <w:sz w:val="24"/>
        </w:rPr>
      </w:pPr>
      <w:r>
        <w:rPr>
          <w:sz w:val="24"/>
        </w:rPr>
        <w:t xml:space="preserve">La </w:t>
      </w:r>
      <w:r w:rsidRPr="0079305C">
        <w:rPr>
          <w:b/>
          <w:sz w:val="24"/>
        </w:rPr>
        <w:t>Convention Internationale relative aux D</w:t>
      </w:r>
      <w:r w:rsidR="0079305C" w:rsidRPr="0079305C">
        <w:rPr>
          <w:b/>
          <w:sz w:val="24"/>
        </w:rPr>
        <w:t>roits des Personnes Handicapées</w:t>
      </w:r>
      <w:r w:rsidR="0079305C">
        <w:rPr>
          <w:sz w:val="24"/>
        </w:rPr>
        <w:t xml:space="preserve">, ratifiée par l’Union Européenne, est une référence internationale. Son article 27 est consacré à l’emploi et au travail. </w:t>
      </w:r>
    </w:p>
    <w:p w:rsidR="0079305C" w:rsidRDefault="0079305C" w:rsidP="00D47AB9">
      <w:pPr>
        <w:rPr>
          <w:sz w:val="24"/>
        </w:rPr>
      </w:pPr>
    </w:p>
    <w:p w:rsidR="0079305C" w:rsidRPr="006E1CCE" w:rsidRDefault="0079305C" w:rsidP="0079305C">
      <w:pPr>
        <w:pStyle w:val="Paragraphedeliste"/>
        <w:numPr>
          <w:ilvl w:val="0"/>
          <w:numId w:val="22"/>
        </w:numPr>
        <w:rPr>
          <w:sz w:val="24"/>
        </w:rPr>
      </w:pPr>
      <w:r>
        <w:rPr>
          <w:b/>
          <w:sz w:val="24"/>
        </w:rPr>
        <w:t xml:space="preserve">Textes intégrant des mesures pour </w:t>
      </w:r>
      <w:r w:rsidR="006E1CCE">
        <w:rPr>
          <w:b/>
          <w:sz w:val="24"/>
        </w:rPr>
        <w:t>l’amélioration de l’insertion des personnes handicapées sur le marché du travail, des conditions de travail et pour le maintien dans l’emploi</w:t>
      </w:r>
    </w:p>
    <w:p w:rsidR="006E1CCE" w:rsidRDefault="006E1CCE" w:rsidP="006E1CCE">
      <w:pPr>
        <w:rPr>
          <w:sz w:val="24"/>
        </w:rPr>
      </w:pPr>
    </w:p>
    <w:p w:rsidR="006E1CCE" w:rsidRDefault="006E1CCE" w:rsidP="006E1CCE">
      <w:pPr>
        <w:rPr>
          <w:sz w:val="24"/>
        </w:rPr>
      </w:pPr>
      <w:r>
        <w:rPr>
          <w:sz w:val="24"/>
        </w:rPr>
        <w:t xml:space="preserve">La stratégie de Lisbonne, lancée en 2000 projette pour l’Union Européenne, une « […] économie de la connaissance la plus compétitive et la plus dynamique du monde d’ici à 2010, capable d’une croissance économique durable accompagnée d’une amélioration quantitative et qualitative de l’emploi et d’une plus grande cohésion sociale ». </w:t>
      </w:r>
    </w:p>
    <w:p w:rsidR="000E2B4A" w:rsidRDefault="000E2B4A" w:rsidP="006E1CCE">
      <w:pPr>
        <w:rPr>
          <w:sz w:val="24"/>
        </w:rPr>
      </w:pPr>
    </w:p>
    <w:p w:rsidR="000E2B4A" w:rsidRDefault="000E2B4A" w:rsidP="006E1CCE">
      <w:pPr>
        <w:rPr>
          <w:sz w:val="24"/>
        </w:rPr>
      </w:pPr>
      <w:r>
        <w:rPr>
          <w:sz w:val="24"/>
        </w:rPr>
        <w:t>Cette stratégie a été poursuivie par la stratégie « 2010-2020 En faveur des personnes handicapée</w:t>
      </w:r>
      <w:r w:rsidR="00C12662">
        <w:rPr>
          <w:sz w:val="24"/>
        </w:rPr>
        <w:t>s pour une Europe s</w:t>
      </w:r>
      <w:r>
        <w:rPr>
          <w:sz w:val="24"/>
        </w:rPr>
        <w:t xml:space="preserve">ans entraves », avec l’idée d’une « croissance intelligente, durable et inclusive ». La stratégie 2020 souligne l’importance des Politiques Actives du Marché du Travail (PAMT), et le passage à des mesures plus actives en termes d’inclusion des personnes handicapées selon le principe du </w:t>
      </w:r>
      <w:proofErr w:type="spellStart"/>
      <w:r>
        <w:rPr>
          <w:sz w:val="24"/>
        </w:rPr>
        <w:t>mainstreaming</w:t>
      </w:r>
      <w:proofErr w:type="spellEnd"/>
      <w:r>
        <w:rPr>
          <w:sz w:val="24"/>
        </w:rPr>
        <w:t xml:space="preserve"> </w:t>
      </w:r>
      <w:proofErr w:type="spellStart"/>
      <w:r>
        <w:rPr>
          <w:sz w:val="24"/>
        </w:rPr>
        <w:t>disability</w:t>
      </w:r>
      <w:proofErr w:type="spellEnd"/>
      <w:r>
        <w:rPr>
          <w:sz w:val="24"/>
        </w:rPr>
        <w:t xml:space="preserve">. </w:t>
      </w:r>
    </w:p>
    <w:p w:rsidR="000E2B4A" w:rsidRDefault="000E2B4A" w:rsidP="006E1CCE">
      <w:pPr>
        <w:rPr>
          <w:sz w:val="24"/>
        </w:rPr>
      </w:pPr>
    </w:p>
    <w:p w:rsidR="000E2B4A" w:rsidRDefault="005C14B2" w:rsidP="006E1CCE">
      <w:pPr>
        <w:rPr>
          <w:sz w:val="24"/>
        </w:rPr>
      </w:pPr>
      <w:r>
        <w:rPr>
          <w:sz w:val="24"/>
        </w:rPr>
        <w:t>La directive 2000/78/CE (à transposer dans le droit national) a pour objectif de favoriser les mesures actives de soutien des personnes handicapées e</w:t>
      </w:r>
      <w:r w:rsidR="00EB14A8">
        <w:rPr>
          <w:sz w:val="24"/>
        </w:rPr>
        <w:t>n</w:t>
      </w:r>
      <w:r>
        <w:rPr>
          <w:sz w:val="24"/>
        </w:rPr>
        <w:t xml:space="preserve"> termes d’égalité des chances, de non-discrimination et d’appropriation des conditions de travail. </w:t>
      </w:r>
    </w:p>
    <w:p w:rsidR="00EB14A8" w:rsidRDefault="00EB14A8" w:rsidP="006E1CCE">
      <w:pPr>
        <w:rPr>
          <w:sz w:val="24"/>
        </w:rPr>
      </w:pPr>
    </w:p>
    <w:p w:rsidR="00EB14A8" w:rsidRDefault="00EB14A8" w:rsidP="006E1CCE">
      <w:pPr>
        <w:rPr>
          <w:sz w:val="24"/>
        </w:rPr>
      </w:pPr>
      <w:r>
        <w:rPr>
          <w:sz w:val="24"/>
        </w:rPr>
        <w:t xml:space="preserve">Enfin, la stratégie 2014-17 de l’Organisation Internationale du Travail contient des pistes d’action pour l’inclusion des personnes handicapées dans le monde du travail. </w:t>
      </w:r>
    </w:p>
    <w:p w:rsidR="0039236F" w:rsidRDefault="0039236F" w:rsidP="006E1CCE">
      <w:pPr>
        <w:rPr>
          <w:sz w:val="24"/>
        </w:rPr>
      </w:pPr>
    </w:p>
    <w:p w:rsidR="005C14B2" w:rsidRPr="0039236F" w:rsidRDefault="00B20802" w:rsidP="005C14B2">
      <w:pPr>
        <w:pStyle w:val="Titre3"/>
        <w:rPr>
          <w:u w:val="single"/>
        </w:rPr>
      </w:pPr>
      <w:bookmarkStart w:id="18" w:name="_Toc433121279"/>
      <w:r>
        <w:rPr>
          <w:u w:val="single"/>
        </w:rPr>
        <w:t>Les vecteurs de</w:t>
      </w:r>
      <w:r w:rsidR="005C14B2" w:rsidRPr="0039236F">
        <w:rPr>
          <w:u w:val="single"/>
        </w:rPr>
        <w:t xml:space="preserve"> l’amélioration de l’accès et du maintien dans l’emploi des personnes handicapées</w:t>
      </w:r>
      <w:bookmarkEnd w:id="18"/>
      <w:r w:rsidR="005C14B2" w:rsidRPr="0039236F">
        <w:rPr>
          <w:u w:val="single"/>
        </w:rPr>
        <w:t xml:space="preserve"> </w:t>
      </w:r>
    </w:p>
    <w:p w:rsidR="005C14B2" w:rsidRDefault="005C14B2" w:rsidP="006E1CCE">
      <w:pPr>
        <w:rPr>
          <w:sz w:val="24"/>
        </w:rPr>
      </w:pPr>
    </w:p>
    <w:p w:rsidR="005C14B2" w:rsidRPr="005C14B2" w:rsidRDefault="005C14B2" w:rsidP="005C14B2">
      <w:pPr>
        <w:pStyle w:val="Paragraphedeliste"/>
        <w:numPr>
          <w:ilvl w:val="0"/>
          <w:numId w:val="22"/>
        </w:numPr>
        <w:rPr>
          <w:sz w:val="24"/>
        </w:rPr>
      </w:pPr>
      <w:r>
        <w:rPr>
          <w:b/>
          <w:sz w:val="24"/>
        </w:rPr>
        <w:t xml:space="preserve">Le </w:t>
      </w:r>
      <w:proofErr w:type="spellStart"/>
      <w:r>
        <w:rPr>
          <w:b/>
          <w:sz w:val="24"/>
        </w:rPr>
        <w:t>mainstreaming</w:t>
      </w:r>
      <w:proofErr w:type="spellEnd"/>
    </w:p>
    <w:p w:rsidR="008B4CBA" w:rsidRDefault="008B4CBA" w:rsidP="005C14B2">
      <w:pPr>
        <w:rPr>
          <w:sz w:val="24"/>
        </w:rPr>
      </w:pPr>
    </w:p>
    <w:p w:rsidR="005C14B2" w:rsidRDefault="005C14B2" w:rsidP="005C14B2">
      <w:pPr>
        <w:rPr>
          <w:sz w:val="24"/>
        </w:rPr>
      </w:pPr>
      <w:r>
        <w:rPr>
          <w:sz w:val="24"/>
        </w:rPr>
        <w:t>Ce concept, inscrit dans la politique sociale sur l’emploi, est lié à celui d’inclusion des personnes handicapées.</w:t>
      </w:r>
      <w:r w:rsidR="004338CC">
        <w:rPr>
          <w:sz w:val="24"/>
        </w:rPr>
        <w:t xml:space="preserve"> Le rapport de l’ANED précise d’ailleurs que ce modèle permet un changement de regard envers les personnes handicapées, </w:t>
      </w:r>
      <w:r w:rsidR="00503FFC">
        <w:rPr>
          <w:sz w:val="24"/>
        </w:rPr>
        <w:t xml:space="preserve">et une meilleure prise en compte de ces personnes </w:t>
      </w:r>
      <w:r w:rsidR="004338CC">
        <w:rPr>
          <w:sz w:val="24"/>
        </w:rPr>
        <w:t>comme des participants ac</w:t>
      </w:r>
      <w:r w:rsidR="00503FFC">
        <w:rPr>
          <w:sz w:val="24"/>
        </w:rPr>
        <w:t xml:space="preserve">tifs dans le marché du travail : «  l’intégration systématique du handicap exige une bonne réflexion et une forte implication dans l’élaboration des politiques, pour s’assurer que les personnes handicapées et leurs différents besoins et expériences soient au cœur de l’élaboration des politiques chaque fois qu’elles ont un impact sur leurs vies directement ou indirectement. » </w:t>
      </w:r>
    </w:p>
    <w:p w:rsidR="00503FFC" w:rsidRDefault="00503FFC" w:rsidP="005C14B2">
      <w:pPr>
        <w:rPr>
          <w:sz w:val="24"/>
        </w:rPr>
      </w:pPr>
    </w:p>
    <w:p w:rsidR="00503FFC" w:rsidRPr="006A39CF" w:rsidRDefault="008B4CBA" w:rsidP="00503FFC">
      <w:pPr>
        <w:pStyle w:val="Paragraphedeliste"/>
        <w:numPr>
          <w:ilvl w:val="0"/>
          <w:numId w:val="22"/>
        </w:numPr>
        <w:rPr>
          <w:b/>
          <w:sz w:val="24"/>
        </w:rPr>
      </w:pPr>
      <w:r w:rsidRPr="006A39CF">
        <w:rPr>
          <w:b/>
          <w:sz w:val="24"/>
        </w:rPr>
        <w:t xml:space="preserve">Le principe de </w:t>
      </w:r>
      <w:proofErr w:type="spellStart"/>
      <w:r w:rsidRPr="006A39CF">
        <w:rPr>
          <w:b/>
          <w:sz w:val="24"/>
        </w:rPr>
        <w:t>flexisé</w:t>
      </w:r>
      <w:r w:rsidR="00503FFC" w:rsidRPr="006A39CF">
        <w:rPr>
          <w:b/>
          <w:sz w:val="24"/>
        </w:rPr>
        <w:t>curité</w:t>
      </w:r>
      <w:proofErr w:type="spellEnd"/>
    </w:p>
    <w:p w:rsidR="00503FFC" w:rsidRPr="00503FFC" w:rsidRDefault="00503FFC" w:rsidP="00503FFC">
      <w:pPr>
        <w:rPr>
          <w:sz w:val="24"/>
        </w:rPr>
      </w:pPr>
    </w:p>
    <w:p w:rsidR="00503FFC" w:rsidRDefault="008B4CBA" w:rsidP="005C14B2">
      <w:pPr>
        <w:rPr>
          <w:sz w:val="24"/>
        </w:rPr>
      </w:pPr>
      <w:r>
        <w:rPr>
          <w:sz w:val="24"/>
        </w:rPr>
        <w:t xml:space="preserve">Ce principe est repris dans les quatre documents étudiés. L’étude de COWI apporte la définition suivante au concept de </w:t>
      </w:r>
      <w:proofErr w:type="spellStart"/>
      <w:r>
        <w:rPr>
          <w:sz w:val="24"/>
        </w:rPr>
        <w:t>flexisécurité</w:t>
      </w:r>
      <w:proofErr w:type="spellEnd"/>
      <w:r>
        <w:rPr>
          <w:sz w:val="24"/>
        </w:rPr>
        <w:t> : « une stratégie qui tente de façon synchronisée et de manière organisée, d’améliorer la flexibilité de l’organisation du travail et les relations syndicales d’une part, et d’améliorer la sécurit</w:t>
      </w:r>
      <w:r w:rsidR="00C13AC6">
        <w:rPr>
          <w:sz w:val="24"/>
        </w:rPr>
        <w:t>é de l’emploi, notamment pour les groupes exclus du marché du travail ». L’étude de COWI s’est par ailleurs particulièrement centrée sur le lien entre ce principe et l’emploi accompagné.</w:t>
      </w:r>
    </w:p>
    <w:p w:rsidR="00C13AC6" w:rsidRDefault="00C13AC6" w:rsidP="005C14B2">
      <w:pPr>
        <w:rPr>
          <w:sz w:val="24"/>
        </w:rPr>
      </w:pPr>
    </w:p>
    <w:p w:rsidR="0039236F" w:rsidRDefault="00C13AC6" w:rsidP="005E6002">
      <w:pPr>
        <w:rPr>
          <w:sz w:val="24"/>
        </w:rPr>
      </w:pPr>
      <w:r>
        <w:rPr>
          <w:sz w:val="24"/>
        </w:rPr>
        <w:t xml:space="preserve">D’après les critères qu’ils ont établis (arrangements contractuels flexibles, stratégies de formation tout au long de la vie, politiques de travail effectives, systèmes de sécurité sociale modernes proposant un support salarial et facilitant la mobilité), les chercheurs impliqués </w:t>
      </w:r>
      <w:r>
        <w:rPr>
          <w:sz w:val="24"/>
        </w:rPr>
        <w:lastRenderedPageBreak/>
        <w:t>dans le rapport COWI ont démontré que les pays scandinaves se démarquent p</w:t>
      </w:r>
      <w:r w:rsidR="00E56291">
        <w:rPr>
          <w:sz w:val="24"/>
        </w:rPr>
        <w:t>articulièrement dans ce domaine.</w:t>
      </w:r>
    </w:p>
    <w:p w:rsidR="003912B7" w:rsidRDefault="003912B7" w:rsidP="005E6002">
      <w:pPr>
        <w:rPr>
          <w:sz w:val="24"/>
        </w:rPr>
      </w:pPr>
    </w:p>
    <w:p w:rsidR="00C13AC6" w:rsidRPr="00C13AC6" w:rsidRDefault="00C13AC6" w:rsidP="00C13AC6">
      <w:pPr>
        <w:pStyle w:val="Paragraphedeliste"/>
        <w:numPr>
          <w:ilvl w:val="0"/>
          <w:numId w:val="22"/>
        </w:numPr>
        <w:rPr>
          <w:sz w:val="24"/>
        </w:rPr>
      </w:pPr>
      <w:r>
        <w:rPr>
          <w:b/>
          <w:sz w:val="24"/>
        </w:rPr>
        <w:t>Les Politiques Actives du Marché du Travail (PAMT)</w:t>
      </w:r>
    </w:p>
    <w:p w:rsidR="00D47AB9" w:rsidRDefault="00D47AB9" w:rsidP="005E6002">
      <w:pPr>
        <w:rPr>
          <w:sz w:val="24"/>
        </w:rPr>
      </w:pPr>
    </w:p>
    <w:p w:rsidR="00503FFC" w:rsidRDefault="00C13AC6" w:rsidP="005E6002">
      <w:pPr>
        <w:rPr>
          <w:sz w:val="24"/>
        </w:rPr>
      </w:pPr>
      <w:r>
        <w:rPr>
          <w:sz w:val="24"/>
        </w:rPr>
        <w:t xml:space="preserve">Ces politiques sont destinées à aider les demandeurs d’emploi dans leurs recherches. Elles incluent l’administration des prestations chômage, ainsi que la formation et la création de nouveaux emplois. D’après l’étude de l’ANED, les PAMT incluent les personnes handicapées à plusieurs niveaux : </w:t>
      </w:r>
    </w:p>
    <w:p w:rsidR="00C13AC6" w:rsidRDefault="00C13AC6" w:rsidP="00C13AC6">
      <w:pPr>
        <w:pStyle w:val="Paragraphedeliste"/>
        <w:numPr>
          <w:ilvl w:val="0"/>
          <w:numId w:val="23"/>
        </w:numPr>
        <w:rPr>
          <w:sz w:val="24"/>
        </w:rPr>
      </w:pPr>
      <w:r>
        <w:rPr>
          <w:sz w:val="24"/>
        </w:rPr>
        <w:t>L’emploi régulier</w:t>
      </w:r>
    </w:p>
    <w:p w:rsidR="00C13AC6" w:rsidRDefault="00C13AC6" w:rsidP="00C13AC6">
      <w:pPr>
        <w:pStyle w:val="Paragraphedeliste"/>
        <w:numPr>
          <w:ilvl w:val="0"/>
          <w:numId w:val="23"/>
        </w:numPr>
        <w:rPr>
          <w:sz w:val="24"/>
        </w:rPr>
      </w:pPr>
      <w:r>
        <w:rPr>
          <w:sz w:val="24"/>
        </w:rPr>
        <w:t>L’emploi protégé</w:t>
      </w:r>
    </w:p>
    <w:p w:rsidR="00C13AC6" w:rsidRDefault="00C13AC6" w:rsidP="00C13AC6">
      <w:pPr>
        <w:pStyle w:val="Paragraphedeliste"/>
        <w:numPr>
          <w:ilvl w:val="0"/>
          <w:numId w:val="23"/>
        </w:numPr>
        <w:rPr>
          <w:sz w:val="24"/>
        </w:rPr>
      </w:pPr>
      <w:r>
        <w:rPr>
          <w:sz w:val="24"/>
        </w:rPr>
        <w:t>La réinsertion et la formation</w:t>
      </w:r>
    </w:p>
    <w:p w:rsidR="00C13AC6" w:rsidRDefault="00583963" w:rsidP="00C13AC6">
      <w:pPr>
        <w:rPr>
          <w:rFonts w:ascii="Calibri" w:hAnsi="Calibri"/>
          <w:sz w:val="24"/>
          <w:szCs w:val="24"/>
        </w:rPr>
      </w:pPr>
      <w:r>
        <w:rPr>
          <w:sz w:val="24"/>
        </w:rPr>
        <w:t xml:space="preserve">Les PAMT </w:t>
      </w:r>
      <w:r w:rsidRPr="00B3767E">
        <w:rPr>
          <w:rFonts w:ascii="Calibri" w:hAnsi="Calibri"/>
          <w:sz w:val="24"/>
          <w:szCs w:val="24"/>
        </w:rPr>
        <w:t xml:space="preserve">s’inscrivent dans une démarche d’inclusion du handicap dans les processus d’emploi et répondent donc au concept du </w:t>
      </w:r>
      <w:proofErr w:type="spellStart"/>
      <w:r w:rsidRPr="00B3767E">
        <w:rPr>
          <w:rFonts w:ascii="Calibri" w:hAnsi="Calibri"/>
          <w:sz w:val="24"/>
          <w:szCs w:val="24"/>
        </w:rPr>
        <w:t>mainstreaming</w:t>
      </w:r>
      <w:proofErr w:type="spellEnd"/>
      <w:r w:rsidRPr="00B3767E">
        <w:rPr>
          <w:rFonts w:ascii="Calibri" w:hAnsi="Calibri"/>
          <w:sz w:val="24"/>
          <w:szCs w:val="24"/>
        </w:rPr>
        <w:t xml:space="preserve">. Elles peuvent se déployer </w:t>
      </w:r>
      <w:r>
        <w:rPr>
          <w:rFonts w:ascii="Calibri" w:hAnsi="Calibri"/>
          <w:sz w:val="24"/>
          <w:szCs w:val="24"/>
        </w:rPr>
        <w:t>à travers un support économique,</w:t>
      </w:r>
      <w:r w:rsidRPr="00B3767E">
        <w:rPr>
          <w:rFonts w:ascii="Calibri" w:hAnsi="Calibri"/>
          <w:sz w:val="24"/>
          <w:szCs w:val="24"/>
        </w:rPr>
        <w:t xml:space="preserve"> l’amélioration de l’accessibilité au lieu</w:t>
      </w:r>
      <w:r>
        <w:rPr>
          <w:rFonts w:ascii="Calibri" w:hAnsi="Calibri"/>
          <w:sz w:val="24"/>
          <w:szCs w:val="24"/>
        </w:rPr>
        <w:t xml:space="preserve"> du travail, la mise en place d’une aide par</w:t>
      </w:r>
      <w:r w:rsidRPr="00B3767E">
        <w:rPr>
          <w:rFonts w:ascii="Calibri" w:hAnsi="Calibri"/>
          <w:sz w:val="24"/>
          <w:szCs w:val="24"/>
        </w:rPr>
        <w:t xml:space="preserve"> de</w:t>
      </w:r>
      <w:r>
        <w:rPr>
          <w:rFonts w:ascii="Calibri" w:hAnsi="Calibri"/>
          <w:sz w:val="24"/>
          <w:szCs w:val="24"/>
        </w:rPr>
        <w:t>s</w:t>
      </w:r>
      <w:r w:rsidRPr="00B3767E">
        <w:rPr>
          <w:rFonts w:ascii="Calibri" w:hAnsi="Calibri"/>
          <w:sz w:val="24"/>
          <w:szCs w:val="24"/>
        </w:rPr>
        <w:t xml:space="preserve"> formateurs </w:t>
      </w:r>
      <w:r>
        <w:rPr>
          <w:rFonts w:ascii="Calibri" w:hAnsi="Calibri"/>
          <w:sz w:val="24"/>
          <w:szCs w:val="24"/>
        </w:rPr>
        <w:t>ou</w:t>
      </w:r>
      <w:r w:rsidRPr="00B3767E">
        <w:rPr>
          <w:rFonts w:ascii="Calibri" w:hAnsi="Calibri"/>
          <w:sz w:val="24"/>
          <w:szCs w:val="24"/>
        </w:rPr>
        <w:t xml:space="preserve"> </w:t>
      </w:r>
      <w:r>
        <w:rPr>
          <w:rFonts w:ascii="Calibri" w:hAnsi="Calibri"/>
          <w:sz w:val="24"/>
          <w:szCs w:val="24"/>
        </w:rPr>
        <w:t xml:space="preserve">conseillers ou encore </w:t>
      </w:r>
      <w:r w:rsidRPr="00B3767E">
        <w:rPr>
          <w:rFonts w:ascii="Calibri" w:hAnsi="Calibri"/>
          <w:sz w:val="24"/>
          <w:szCs w:val="24"/>
        </w:rPr>
        <w:t xml:space="preserve">un support législatif </w:t>
      </w:r>
      <w:r>
        <w:rPr>
          <w:rFonts w:ascii="Calibri" w:hAnsi="Calibri"/>
          <w:sz w:val="24"/>
          <w:szCs w:val="24"/>
        </w:rPr>
        <w:t>incluant des quotas.</w:t>
      </w:r>
    </w:p>
    <w:p w:rsidR="00583963" w:rsidRDefault="00583963" w:rsidP="00C13AC6">
      <w:pPr>
        <w:rPr>
          <w:rFonts w:ascii="Calibri" w:hAnsi="Calibri"/>
          <w:sz w:val="24"/>
          <w:szCs w:val="24"/>
        </w:rPr>
      </w:pPr>
    </w:p>
    <w:p w:rsidR="00583963" w:rsidRDefault="00583963" w:rsidP="00583963">
      <w:pPr>
        <w:keepNext/>
      </w:pPr>
      <w:r>
        <w:rPr>
          <w:noProof/>
          <w:sz w:val="24"/>
          <w:lang w:eastAsia="fr-FR"/>
        </w:rPr>
        <w:drawing>
          <wp:inline distT="0" distB="0" distL="0" distR="0" wp14:anchorId="265E14D6" wp14:editId="02522A7D">
            <wp:extent cx="5743575" cy="33147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3314700"/>
                    </a:xfrm>
                    <a:prstGeom prst="rect">
                      <a:avLst/>
                    </a:prstGeom>
                    <a:noFill/>
                    <a:ln>
                      <a:noFill/>
                    </a:ln>
                  </pic:spPr>
                </pic:pic>
              </a:graphicData>
            </a:graphic>
          </wp:inline>
        </w:drawing>
      </w:r>
    </w:p>
    <w:p w:rsidR="00583963" w:rsidRPr="0091363F" w:rsidRDefault="00583963" w:rsidP="00583963">
      <w:pPr>
        <w:pStyle w:val="Lgende"/>
        <w:rPr>
          <w:i w:val="0"/>
          <w:color w:val="E36C0A" w:themeColor="accent6" w:themeShade="BF"/>
          <w:sz w:val="20"/>
          <w:szCs w:val="20"/>
        </w:rPr>
      </w:pPr>
      <w:r w:rsidRPr="0091363F">
        <w:rPr>
          <w:b/>
          <w:i w:val="0"/>
          <w:color w:val="E36C0A" w:themeColor="accent6" w:themeShade="BF"/>
          <w:sz w:val="20"/>
          <w:szCs w:val="20"/>
        </w:rPr>
        <w:t xml:space="preserve">Figure </w:t>
      </w:r>
      <w:r w:rsidRPr="0091363F">
        <w:rPr>
          <w:b/>
          <w:i w:val="0"/>
          <w:color w:val="E36C0A" w:themeColor="accent6" w:themeShade="BF"/>
          <w:sz w:val="20"/>
          <w:szCs w:val="20"/>
        </w:rPr>
        <w:fldChar w:fldCharType="begin"/>
      </w:r>
      <w:r w:rsidRPr="0091363F">
        <w:rPr>
          <w:b/>
          <w:i w:val="0"/>
          <w:color w:val="E36C0A" w:themeColor="accent6" w:themeShade="BF"/>
          <w:sz w:val="20"/>
          <w:szCs w:val="20"/>
        </w:rPr>
        <w:instrText xml:space="preserve"> SEQ Figure \* ARABIC </w:instrText>
      </w:r>
      <w:r w:rsidRPr="0091363F">
        <w:rPr>
          <w:b/>
          <w:i w:val="0"/>
          <w:color w:val="E36C0A" w:themeColor="accent6" w:themeShade="BF"/>
          <w:sz w:val="20"/>
          <w:szCs w:val="20"/>
        </w:rPr>
        <w:fldChar w:fldCharType="separate"/>
      </w:r>
      <w:r w:rsidR="007955E4">
        <w:rPr>
          <w:b/>
          <w:i w:val="0"/>
          <w:noProof/>
          <w:color w:val="E36C0A" w:themeColor="accent6" w:themeShade="BF"/>
          <w:sz w:val="20"/>
          <w:szCs w:val="20"/>
        </w:rPr>
        <w:t>1</w:t>
      </w:r>
      <w:r w:rsidRPr="0091363F">
        <w:rPr>
          <w:b/>
          <w:i w:val="0"/>
          <w:color w:val="E36C0A" w:themeColor="accent6" w:themeShade="BF"/>
          <w:sz w:val="20"/>
          <w:szCs w:val="20"/>
        </w:rPr>
        <w:fldChar w:fldCharType="end"/>
      </w:r>
      <w:r w:rsidRPr="0091363F">
        <w:rPr>
          <w:i w:val="0"/>
          <w:color w:val="E36C0A" w:themeColor="accent6" w:themeShade="BF"/>
          <w:sz w:val="20"/>
          <w:szCs w:val="20"/>
        </w:rPr>
        <w:t xml:space="preserve">. </w:t>
      </w:r>
      <w:r w:rsidRPr="0091363F">
        <w:rPr>
          <w:i w:val="0"/>
          <w:noProof/>
          <w:color w:val="E36C0A" w:themeColor="accent6" w:themeShade="BF"/>
          <w:sz w:val="20"/>
          <w:szCs w:val="20"/>
        </w:rPr>
        <w:t>Exemples de services destinés à pr</w:t>
      </w:r>
      <w:r w:rsidR="003E1710" w:rsidRPr="0091363F">
        <w:rPr>
          <w:i w:val="0"/>
          <w:noProof/>
          <w:color w:val="E36C0A" w:themeColor="accent6" w:themeShade="BF"/>
          <w:sz w:val="20"/>
          <w:szCs w:val="20"/>
        </w:rPr>
        <w:t>o</w:t>
      </w:r>
      <w:r w:rsidRPr="0091363F">
        <w:rPr>
          <w:i w:val="0"/>
          <w:noProof/>
          <w:color w:val="E36C0A" w:themeColor="accent6" w:themeShade="BF"/>
          <w:sz w:val="20"/>
          <w:szCs w:val="20"/>
        </w:rPr>
        <w:t xml:space="preserve">mouvoir l'intégration des personnes handicapées dans l'emploi. </w:t>
      </w:r>
      <w:proofErr w:type="gramStart"/>
      <w:r w:rsidRPr="0017641F">
        <w:rPr>
          <w:i w:val="0"/>
          <w:noProof/>
          <w:color w:val="E36C0A" w:themeColor="accent6" w:themeShade="BF"/>
          <w:sz w:val="20"/>
          <w:szCs w:val="20"/>
          <w:lang w:val="en-US"/>
        </w:rPr>
        <w:t xml:space="preserve">(Source : Huber </w:t>
      </w:r>
      <w:r w:rsidR="0091363F" w:rsidRPr="0017641F">
        <w:rPr>
          <w:i w:val="0"/>
          <w:noProof/>
          <w:color w:val="E36C0A" w:themeColor="accent6" w:themeShade="BF"/>
          <w:sz w:val="20"/>
          <w:szCs w:val="20"/>
          <w:lang w:val="en-US"/>
        </w:rPr>
        <w:t xml:space="preserve">M. </w:t>
      </w:r>
      <w:r w:rsidRPr="0017641F">
        <w:rPr>
          <w:i w:val="0"/>
          <w:noProof/>
          <w:color w:val="E36C0A" w:themeColor="accent6" w:themeShade="BF"/>
          <w:sz w:val="20"/>
          <w:szCs w:val="20"/>
          <w:lang w:val="en-US"/>
        </w:rPr>
        <w:t>et Al.</w:t>
      </w:r>
      <w:r w:rsidR="0091363F" w:rsidRPr="0017641F">
        <w:rPr>
          <w:color w:val="E36C0A" w:themeColor="accent6" w:themeShade="BF"/>
          <w:sz w:val="20"/>
          <w:szCs w:val="20"/>
          <w:lang w:val="en-US"/>
        </w:rPr>
        <w:t xml:space="preserve"> </w:t>
      </w:r>
      <w:r w:rsidR="0091363F" w:rsidRPr="00091E9C">
        <w:rPr>
          <w:i w:val="0"/>
          <w:iCs w:val="0"/>
          <w:color w:val="E36C0A" w:themeColor="accent6" w:themeShade="BF"/>
          <w:sz w:val="20"/>
          <w:szCs w:val="20"/>
          <w:lang w:val="en-GB"/>
        </w:rPr>
        <w:t>Study on Social and Health Services of General Interest in the European Union.</w:t>
      </w:r>
      <w:proofErr w:type="gramEnd"/>
      <w:r w:rsidR="0091363F" w:rsidRPr="00091E9C">
        <w:rPr>
          <w:i w:val="0"/>
          <w:iCs w:val="0"/>
          <w:color w:val="E36C0A" w:themeColor="accent6" w:themeShade="BF"/>
          <w:sz w:val="20"/>
          <w:szCs w:val="20"/>
          <w:lang w:val="en-GB"/>
        </w:rPr>
        <w:t xml:space="preserve"> </w:t>
      </w:r>
      <w:r w:rsidR="0091363F" w:rsidRPr="00091E9C">
        <w:rPr>
          <w:i w:val="0"/>
          <w:color w:val="E36C0A" w:themeColor="accent6" w:themeShade="BF"/>
          <w:sz w:val="20"/>
          <w:szCs w:val="20"/>
          <w:lang w:val="en-GB"/>
        </w:rPr>
        <w:t>Vienna, European Centre</w:t>
      </w:r>
      <w:r w:rsidR="0091363F" w:rsidRPr="0091363F">
        <w:rPr>
          <w:color w:val="E36C0A" w:themeColor="accent6" w:themeShade="BF"/>
          <w:sz w:val="20"/>
          <w:szCs w:val="20"/>
        </w:rPr>
        <w:t>. 2008.</w:t>
      </w:r>
      <w:r w:rsidRPr="0091363F">
        <w:rPr>
          <w:i w:val="0"/>
          <w:noProof/>
          <w:color w:val="E36C0A" w:themeColor="accent6" w:themeShade="BF"/>
          <w:sz w:val="20"/>
          <w:szCs w:val="20"/>
        </w:rPr>
        <w:t>)</w:t>
      </w:r>
    </w:p>
    <w:p w:rsidR="00503FFC" w:rsidRPr="0091363F" w:rsidRDefault="003912B7" w:rsidP="005E6002">
      <w:pPr>
        <w:rPr>
          <w:sz w:val="24"/>
        </w:rPr>
      </w:pPr>
      <w:r>
        <w:rPr>
          <w:sz w:val="24"/>
        </w:rPr>
        <w:br w:type="page"/>
      </w:r>
    </w:p>
    <w:p w:rsidR="00583963" w:rsidRPr="0039236F" w:rsidRDefault="00BD6365" w:rsidP="00583963">
      <w:pPr>
        <w:pStyle w:val="Titre3"/>
        <w:rPr>
          <w:u w:val="single"/>
        </w:rPr>
      </w:pPr>
      <w:bookmarkStart w:id="19" w:name="_Toc433121280"/>
      <w:r>
        <w:rPr>
          <w:u w:val="single"/>
        </w:rPr>
        <w:lastRenderedPageBreak/>
        <w:t>L’emploi des personnes handicapées dans les pratiques</w:t>
      </w:r>
      <w:bookmarkEnd w:id="19"/>
    </w:p>
    <w:p w:rsidR="00583963" w:rsidRDefault="00583963" w:rsidP="00583963"/>
    <w:p w:rsidR="00583963" w:rsidRPr="00583963" w:rsidRDefault="00583963" w:rsidP="00583963">
      <w:pPr>
        <w:pStyle w:val="Paragraphedeliste"/>
        <w:numPr>
          <w:ilvl w:val="0"/>
          <w:numId w:val="25"/>
        </w:numPr>
      </w:pPr>
      <w:r>
        <w:rPr>
          <w:b/>
          <w:sz w:val="24"/>
        </w:rPr>
        <w:t>En Autriche</w:t>
      </w:r>
    </w:p>
    <w:p w:rsidR="00583963" w:rsidRDefault="00583963" w:rsidP="00583963"/>
    <w:p w:rsidR="00583963" w:rsidRDefault="00583963" w:rsidP="00583963">
      <w:pPr>
        <w:rPr>
          <w:sz w:val="24"/>
        </w:rPr>
      </w:pPr>
      <w:r w:rsidRPr="00583963">
        <w:rPr>
          <w:sz w:val="24"/>
        </w:rPr>
        <w:t xml:space="preserve">Deux des documents </w:t>
      </w:r>
      <w:r>
        <w:rPr>
          <w:sz w:val="24"/>
        </w:rPr>
        <w:t>étudiés mentionnent que l’Autriche privilégie l’emploi accompagné. Son intérêt réside dans le fait que les projets d’emploi accompagné sont destinés à des groupes cibles spécifiques, permettant ainsi une spécialisation et formation du personnel d’accompagnement ainsi qu’une meilleure appréhension des particularités de chaque situation.</w:t>
      </w:r>
    </w:p>
    <w:p w:rsidR="00583963" w:rsidRDefault="00583963" w:rsidP="00583963">
      <w:pPr>
        <w:rPr>
          <w:sz w:val="24"/>
        </w:rPr>
      </w:pPr>
    </w:p>
    <w:p w:rsidR="00583963" w:rsidRDefault="00583963" w:rsidP="00583963">
      <w:pPr>
        <w:rPr>
          <w:sz w:val="24"/>
        </w:rPr>
      </w:pPr>
      <w:r>
        <w:rPr>
          <w:sz w:val="24"/>
        </w:rPr>
        <w:t xml:space="preserve">En Autriche, les auteurs du rapport </w:t>
      </w:r>
      <w:proofErr w:type="spellStart"/>
      <w:r>
        <w:rPr>
          <w:sz w:val="24"/>
        </w:rPr>
        <w:t>Zero</w:t>
      </w:r>
      <w:proofErr w:type="spellEnd"/>
      <w:r>
        <w:rPr>
          <w:sz w:val="24"/>
        </w:rPr>
        <w:t xml:space="preserve"> Project mettent de leur côté en avant les politiques d’</w:t>
      </w:r>
      <w:proofErr w:type="spellStart"/>
      <w:r>
        <w:rPr>
          <w:sz w:val="24"/>
        </w:rPr>
        <w:t>empowerment</w:t>
      </w:r>
      <w:proofErr w:type="spellEnd"/>
      <w:r>
        <w:rPr>
          <w:sz w:val="24"/>
        </w:rPr>
        <w:t xml:space="preserve">, par le biais </w:t>
      </w:r>
      <w:r w:rsidR="00B81087">
        <w:rPr>
          <w:sz w:val="24"/>
        </w:rPr>
        <w:t xml:space="preserve">du </w:t>
      </w:r>
      <w:proofErr w:type="spellStart"/>
      <w:r w:rsidR="00B81087">
        <w:rPr>
          <w:sz w:val="24"/>
        </w:rPr>
        <w:t>peer</w:t>
      </w:r>
      <w:proofErr w:type="spellEnd"/>
      <w:r w:rsidR="00B81087">
        <w:rPr>
          <w:sz w:val="24"/>
        </w:rPr>
        <w:t xml:space="preserve"> </w:t>
      </w:r>
      <w:proofErr w:type="spellStart"/>
      <w:r w:rsidR="00B81087">
        <w:rPr>
          <w:sz w:val="24"/>
        </w:rPr>
        <w:t>coun</w:t>
      </w:r>
      <w:r w:rsidR="0010731D">
        <w:rPr>
          <w:sz w:val="24"/>
        </w:rPr>
        <w:t>s</w:t>
      </w:r>
      <w:r w:rsidR="00B81087">
        <w:rPr>
          <w:sz w:val="24"/>
        </w:rPr>
        <w:t>elling</w:t>
      </w:r>
      <w:proofErr w:type="spellEnd"/>
      <w:r w:rsidR="00B81087">
        <w:rPr>
          <w:sz w:val="24"/>
        </w:rPr>
        <w:t xml:space="preserve"> (conseil par les pairs). La région de Haute-Autriche est la première </w:t>
      </w:r>
      <w:r w:rsidR="00C12662">
        <w:rPr>
          <w:sz w:val="24"/>
        </w:rPr>
        <w:t>à</w:t>
      </w:r>
      <w:r w:rsidR="00B81087">
        <w:rPr>
          <w:sz w:val="24"/>
        </w:rPr>
        <w:t xml:space="preserve"> reconnaitre en 2008 le conseil par les pairs en tant que profession à part entière. Le conseiller à une expérience directe du handicap, et utilise des techniques d’écoute active pour conseiller les personnes dans une situation similaire à la sienne. Ces personnes peuvent également être un lien entre les </w:t>
      </w:r>
      <w:r w:rsidR="00C12662">
        <w:rPr>
          <w:sz w:val="24"/>
        </w:rPr>
        <w:t>professionnels</w:t>
      </w:r>
      <w:r w:rsidR="00B81087">
        <w:rPr>
          <w:sz w:val="24"/>
        </w:rPr>
        <w:t xml:space="preserve"> d’accompagnement et les personnes concernées. </w:t>
      </w:r>
    </w:p>
    <w:p w:rsidR="00B81087" w:rsidRDefault="00B81087" w:rsidP="00583963">
      <w:pPr>
        <w:rPr>
          <w:sz w:val="24"/>
        </w:rPr>
      </w:pPr>
    </w:p>
    <w:p w:rsidR="00B81087" w:rsidRDefault="00B81087" w:rsidP="00583963">
      <w:pPr>
        <w:rPr>
          <w:sz w:val="24"/>
        </w:rPr>
      </w:pPr>
      <w:r>
        <w:rPr>
          <w:sz w:val="24"/>
        </w:rPr>
        <w:t xml:space="preserve">Enfin, l’Autriche propose une aide spécifique pour l’insertion professionnelle des jeunes en situation de handicap à travers </w:t>
      </w:r>
      <w:proofErr w:type="gramStart"/>
      <w:r>
        <w:rPr>
          <w:sz w:val="24"/>
        </w:rPr>
        <w:t xml:space="preserve">le </w:t>
      </w:r>
      <w:proofErr w:type="spellStart"/>
      <w:r>
        <w:rPr>
          <w:sz w:val="24"/>
        </w:rPr>
        <w:t>Austr</w:t>
      </w:r>
      <w:r w:rsidR="00C12662">
        <w:rPr>
          <w:sz w:val="24"/>
        </w:rPr>
        <w:t>ian</w:t>
      </w:r>
      <w:proofErr w:type="spellEnd"/>
      <w:proofErr w:type="gramEnd"/>
      <w:r w:rsidR="00C12662">
        <w:rPr>
          <w:sz w:val="24"/>
        </w:rPr>
        <w:t xml:space="preserve"> </w:t>
      </w:r>
      <w:proofErr w:type="spellStart"/>
      <w:r w:rsidR="00C12662">
        <w:rPr>
          <w:sz w:val="24"/>
        </w:rPr>
        <w:t>Vocational</w:t>
      </w:r>
      <w:proofErr w:type="spellEnd"/>
      <w:r w:rsidR="00C12662">
        <w:rPr>
          <w:sz w:val="24"/>
        </w:rPr>
        <w:t xml:space="preserve"> Training </w:t>
      </w:r>
      <w:proofErr w:type="spellStart"/>
      <w:r w:rsidR="00C12662">
        <w:rPr>
          <w:sz w:val="24"/>
        </w:rPr>
        <w:t>Act</w:t>
      </w:r>
      <w:proofErr w:type="spellEnd"/>
      <w:r w:rsidR="00C12662">
        <w:rPr>
          <w:sz w:val="24"/>
        </w:rPr>
        <w:t>, per</w:t>
      </w:r>
      <w:r>
        <w:rPr>
          <w:sz w:val="24"/>
        </w:rPr>
        <w:t>mettant une formation professionnelle plu</w:t>
      </w:r>
      <w:r w:rsidR="00C12662">
        <w:rPr>
          <w:sz w:val="24"/>
        </w:rPr>
        <w:t>s</w:t>
      </w:r>
      <w:r>
        <w:rPr>
          <w:sz w:val="24"/>
        </w:rPr>
        <w:t xml:space="preserve"> accessible pour les jeunes en situation de handicap.</w:t>
      </w:r>
    </w:p>
    <w:p w:rsidR="00B81087" w:rsidRDefault="00B81087" w:rsidP="00583963">
      <w:pPr>
        <w:rPr>
          <w:sz w:val="24"/>
        </w:rPr>
      </w:pPr>
    </w:p>
    <w:p w:rsidR="00B81087" w:rsidRPr="005B5D64" w:rsidRDefault="00145841" w:rsidP="00145841">
      <w:pPr>
        <w:pStyle w:val="Paragraphedeliste"/>
        <w:numPr>
          <w:ilvl w:val="0"/>
          <w:numId w:val="25"/>
        </w:numPr>
        <w:rPr>
          <w:b/>
          <w:sz w:val="24"/>
        </w:rPr>
      </w:pPr>
      <w:r w:rsidRPr="005B5D64">
        <w:rPr>
          <w:b/>
          <w:sz w:val="24"/>
        </w:rPr>
        <w:t>En Suède</w:t>
      </w:r>
    </w:p>
    <w:p w:rsidR="00583963" w:rsidRDefault="00583963" w:rsidP="00583963">
      <w:pPr>
        <w:rPr>
          <w:sz w:val="24"/>
        </w:rPr>
      </w:pPr>
    </w:p>
    <w:p w:rsidR="00145841" w:rsidRDefault="00145841" w:rsidP="00583963">
      <w:pPr>
        <w:rPr>
          <w:sz w:val="24"/>
        </w:rPr>
      </w:pPr>
      <w:r>
        <w:rPr>
          <w:sz w:val="24"/>
        </w:rPr>
        <w:t>Concernant la Suède, l</w:t>
      </w:r>
      <w:r w:rsidR="00583963">
        <w:rPr>
          <w:sz w:val="24"/>
        </w:rPr>
        <w:t xml:space="preserve">e rapport de </w:t>
      </w:r>
      <w:proofErr w:type="spellStart"/>
      <w:r w:rsidR="00583963">
        <w:rPr>
          <w:sz w:val="24"/>
        </w:rPr>
        <w:t>Zero</w:t>
      </w:r>
      <w:proofErr w:type="spellEnd"/>
      <w:r w:rsidR="00583963">
        <w:rPr>
          <w:sz w:val="24"/>
        </w:rPr>
        <w:t xml:space="preserve"> Project fait état du </w:t>
      </w:r>
      <w:proofErr w:type="spellStart"/>
      <w:r w:rsidR="00583963">
        <w:rPr>
          <w:sz w:val="24"/>
        </w:rPr>
        <w:t>Swedish</w:t>
      </w:r>
      <w:proofErr w:type="spellEnd"/>
      <w:r w:rsidR="00583963">
        <w:rPr>
          <w:sz w:val="24"/>
        </w:rPr>
        <w:t xml:space="preserve"> </w:t>
      </w:r>
      <w:proofErr w:type="spellStart"/>
      <w:r w:rsidR="00583963">
        <w:rPr>
          <w:sz w:val="24"/>
        </w:rPr>
        <w:t>Employment</w:t>
      </w:r>
      <w:proofErr w:type="spellEnd"/>
      <w:r w:rsidR="00583963">
        <w:rPr>
          <w:sz w:val="24"/>
        </w:rPr>
        <w:t xml:space="preserve"> Prote</w:t>
      </w:r>
      <w:r w:rsidR="00D47180">
        <w:rPr>
          <w:sz w:val="24"/>
        </w:rPr>
        <w:t>c</w:t>
      </w:r>
      <w:r w:rsidR="00583963">
        <w:rPr>
          <w:sz w:val="24"/>
        </w:rPr>
        <w:t xml:space="preserve">tion </w:t>
      </w:r>
      <w:proofErr w:type="spellStart"/>
      <w:r w:rsidR="00583963">
        <w:rPr>
          <w:sz w:val="24"/>
        </w:rPr>
        <w:t>Act</w:t>
      </w:r>
      <w:proofErr w:type="spellEnd"/>
      <w:r w:rsidR="00583963">
        <w:rPr>
          <w:sz w:val="24"/>
        </w:rPr>
        <w:t>, loi suédoise particulièrement intéressante au regard des principes d’inclusion et du respect des dispositions de la Convention. Cette loi stipule que la capacité réduite de travail due à une incapacité ou une maladie ne constitue pas une cause légitime de licenciement, et que les employeurs sont dans l’obligation d’engager les aménagements nécessaires au maintien du travailleur concerné dans son emploi.</w:t>
      </w:r>
    </w:p>
    <w:p w:rsidR="005B5D64" w:rsidRDefault="005B5D64" w:rsidP="006019F3">
      <w:pPr>
        <w:spacing w:line="720" w:lineRule="auto"/>
        <w:rPr>
          <w:sz w:val="24"/>
        </w:rPr>
      </w:pPr>
    </w:p>
    <w:p w:rsidR="005E6002" w:rsidRPr="005E6002" w:rsidRDefault="005E6002" w:rsidP="00567744">
      <w:pPr>
        <w:pStyle w:val="Titre2"/>
        <w:pBdr>
          <w:left w:val="single" w:sz="4" w:space="4" w:color="auto"/>
          <w:bottom w:val="single" w:sz="4" w:space="1" w:color="auto"/>
        </w:pBdr>
        <w:jc w:val="center"/>
      </w:pPr>
      <w:bookmarkStart w:id="20" w:name="_Toc433121281"/>
      <w:r w:rsidRPr="005E6002">
        <w:t>Fiches de lecture</w:t>
      </w:r>
      <w:bookmarkEnd w:id="20"/>
    </w:p>
    <w:p w:rsidR="005E6002" w:rsidRDefault="005E6002" w:rsidP="005E6002">
      <w:pPr>
        <w:rPr>
          <w:sz w:val="24"/>
        </w:rPr>
      </w:pPr>
    </w:p>
    <w:p w:rsidR="005B5D64" w:rsidRPr="0030638D" w:rsidRDefault="005B5D64" w:rsidP="005B5D64">
      <w:pPr>
        <w:rPr>
          <w:sz w:val="24"/>
          <w:szCs w:val="24"/>
        </w:rPr>
      </w:pPr>
      <w:r w:rsidRPr="0030638D">
        <w:rPr>
          <w:sz w:val="24"/>
          <w:szCs w:val="24"/>
        </w:rPr>
        <w:t xml:space="preserve">Ces fiches de lecture ont été réalisées pour les documents ayant été jugés les plus pertinents au regard des critères définis par les différents partenaires impliqués dans ce travail. </w:t>
      </w:r>
    </w:p>
    <w:p w:rsidR="005B5D64" w:rsidRDefault="005B5D64" w:rsidP="005B5D64">
      <w:pPr>
        <w:rPr>
          <w:sz w:val="24"/>
          <w:szCs w:val="24"/>
        </w:rPr>
      </w:pPr>
      <w:r>
        <w:rPr>
          <w:sz w:val="24"/>
          <w:szCs w:val="24"/>
        </w:rPr>
        <w:t>Sous chaque référence, un lien permet d’accéder à la notice complète et au(x) document(s) sur la base documentaire du Centre Ressources Recherche Appliquée et Handicap.</w:t>
      </w:r>
    </w:p>
    <w:p w:rsidR="00145841" w:rsidRDefault="006019F3" w:rsidP="00183DD5">
      <w:pPr>
        <w:rPr>
          <w:rFonts w:cs="Verdana"/>
        </w:rPr>
      </w:pPr>
      <w:r>
        <w:rPr>
          <w:rFonts w:cs="Verdana"/>
        </w:rPr>
        <w:br w:type="page"/>
      </w:r>
    </w:p>
    <w:p w:rsidR="00D47180" w:rsidRPr="00D47180" w:rsidRDefault="00D47180" w:rsidP="00D47180">
      <w:pPr>
        <w:pStyle w:val="Titre3"/>
        <w:numPr>
          <w:ilvl w:val="0"/>
          <w:numId w:val="13"/>
        </w:numPr>
        <w:rPr>
          <w:b/>
          <w:lang w:val="en-US"/>
        </w:rPr>
      </w:pPr>
      <w:bookmarkStart w:id="21" w:name="_Toc433121282"/>
      <w:proofErr w:type="gramStart"/>
      <w:r w:rsidRPr="003E1710">
        <w:rPr>
          <w:b/>
          <w:lang w:val="en-US"/>
        </w:rPr>
        <w:lastRenderedPageBreak/>
        <w:t>Fiche 1</w:t>
      </w:r>
      <w:r w:rsidRPr="00D47180">
        <w:rPr>
          <w:b/>
          <w:lang w:val="en-US"/>
        </w:rPr>
        <w:t>.</w:t>
      </w:r>
      <w:proofErr w:type="gramEnd"/>
      <w:r w:rsidRPr="00D47180">
        <w:rPr>
          <w:b/>
          <w:lang w:val="en-US"/>
        </w:rPr>
        <w:t xml:space="preserve"> International study on the implementation of the UN Convention on the Rights of Persons with Disabilities</w:t>
      </w:r>
      <w:bookmarkEnd w:id="21"/>
    </w:p>
    <w:p w:rsidR="00D47180" w:rsidRPr="00D47180" w:rsidRDefault="00D47180" w:rsidP="00145841">
      <w:pPr>
        <w:pStyle w:val="Paragraphedeliste"/>
        <w:ind w:left="0"/>
        <w:rPr>
          <w:rFonts w:cs="Verdana"/>
          <w:lang w:val="en-US"/>
        </w:rPr>
      </w:pPr>
    </w:p>
    <w:p w:rsidR="00145841" w:rsidRPr="00D47180" w:rsidRDefault="00145841" w:rsidP="00D47180">
      <w:pPr>
        <w:rPr>
          <w:sz w:val="24"/>
        </w:rPr>
      </w:pPr>
      <w:r w:rsidRPr="00D47180">
        <w:rPr>
          <w:sz w:val="24"/>
          <w:lang w:val="en-US"/>
        </w:rPr>
        <w:t xml:space="preserve">Butcher Th., </w:t>
      </w:r>
      <w:proofErr w:type="spellStart"/>
      <w:r w:rsidRPr="00D47180">
        <w:rPr>
          <w:sz w:val="24"/>
          <w:lang w:val="en-US"/>
        </w:rPr>
        <w:t>Fembek</w:t>
      </w:r>
      <w:proofErr w:type="spellEnd"/>
      <w:r w:rsidRPr="00D47180">
        <w:rPr>
          <w:sz w:val="24"/>
          <w:lang w:val="en-US"/>
        </w:rPr>
        <w:t xml:space="preserve"> M., </w:t>
      </w:r>
      <w:proofErr w:type="spellStart"/>
      <w:r w:rsidRPr="00D47180">
        <w:rPr>
          <w:sz w:val="24"/>
          <w:lang w:val="en-US"/>
        </w:rPr>
        <w:t>Heindorf</w:t>
      </w:r>
      <w:proofErr w:type="spellEnd"/>
      <w:r w:rsidRPr="00D47180">
        <w:rPr>
          <w:sz w:val="24"/>
          <w:lang w:val="en-US"/>
        </w:rPr>
        <w:t xml:space="preserve"> I., </w:t>
      </w:r>
      <w:proofErr w:type="spellStart"/>
      <w:r w:rsidRPr="00D47180">
        <w:rPr>
          <w:sz w:val="24"/>
          <w:lang w:val="en-US"/>
        </w:rPr>
        <w:t>Wallner-Mikl</w:t>
      </w:r>
      <w:proofErr w:type="spellEnd"/>
      <w:r w:rsidRPr="00D47180">
        <w:rPr>
          <w:sz w:val="24"/>
          <w:lang w:val="en-US"/>
        </w:rPr>
        <w:t xml:space="preserve"> C. International study on the implementation of the UN convention on the rights of persons with disabilities. </w:t>
      </w:r>
      <w:proofErr w:type="spellStart"/>
      <w:r w:rsidRPr="00D47180">
        <w:rPr>
          <w:sz w:val="24"/>
        </w:rPr>
        <w:t>Zero</w:t>
      </w:r>
      <w:proofErr w:type="spellEnd"/>
      <w:r w:rsidRPr="00D47180">
        <w:rPr>
          <w:sz w:val="24"/>
        </w:rPr>
        <w:t xml:space="preserve"> Project Report. 2012. 228 pages</w:t>
      </w:r>
    </w:p>
    <w:p w:rsidR="00145841" w:rsidRPr="00145841" w:rsidRDefault="00145841" w:rsidP="00145841">
      <w:pPr>
        <w:pStyle w:val="Paragraphedeliste"/>
        <w:ind w:left="0"/>
        <w:rPr>
          <w:rFonts w:cs="Verdana"/>
          <w:sz w:val="24"/>
          <w:szCs w:val="24"/>
        </w:rPr>
      </w:pPr>
    </w:p>
    <w:p w:rsidR="00145841" w:rsidRPr="0039236F" w:rsidRDefault="00145841" w:rsidP="0039236F">
      <w:pPr>
        <w:rPr>
          <w:sz w:val="24"/>
          <w:szCs w:val="24"/>
        </w:rPr>
      </w:pPr>
      <w:r w:rsidRPr="00145841">
        <w:rPr>
          <w:sz w:val="24"/>
          <w:szCs w:val="24"/>
        </w:rPr>
        <w:t>Accéder à la notice et au(x) document(s) sur la base documentaire du Centre Ressources Recherche Appliquée et Handicap.</w:t>
      </w:r>
    </w:p>
    <w:p w:rsidR="00183DD5" w:rsidRDefault="00183DD5" w:rsidP="00145841">
      <w:pPr>
        <w:rPr>
          <w:b/>
          <w:color w:val="E36C0A" w:themeColor="accent6" w:themeShade="BF"/>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Mots clés</w:t>
      </w:r>
    </w:p>
    <w:p w:rsidR="00145841" w:rsidRPr="00145841" w:rsidRDefault="00145841" w:rsidP="00145841">
      <w:pPr>
        <w:rPr>
          <w:sz w:val="24"/>
          <w:szCs w:val="24"/>
        </w:rPr>
      </w:pPr>
      <w:r w:rsidRPr="00145841">
        <w:rPr>
          <w:sz w:val="24"/>
          <w:szCs w:val="24"/>
        </w:rPr>
        <w:t>Emploi</w:t>
      </w:r>
    </w:p>
    <w:p w:rsidR="00145841" w:rsidRPr="00145841" w:rsidRDefault="00145841" w:rsidP="00145841">
      <w:pPr>
        <w:rPr>
          <w:sz w:val="24"/>
          <w:szCs w:val="24"/>
        </w:rPr>
      </w:pPr>
    </w:p>
    <w:p w:rsidR="00145841" w:rsidRPr="005B0CD8" w:rsidRDefault="00145841" w:rsidP="00145841">
      <w:pPr>
        <w:rPr>
          <w:b/>
          <w:color w:val="E36C0A" w:themeColor="accent6" w:themeShade="BF"/>
          <w:sz w:val="24"/>
          <w:szCs w:val="24"/>
        </w:rPr>
      </w:pPr>
      <w:r w:rsidRPr="005B0CD8">
        <w:rPr>
          <w:b/>
          <w:color w:val="E36C0A" w:themeColor="accent6" w:themeShade="BF"/>
          <w:sz w:val="24"/>
          <w:szCs w:val="24"/>
        </w:rPr>
        <w:t xml:space="preserve">Résumé </w:t>
      </w:r>
      <w:r w:rsidR="005B5D64" w:rsidRPr="005B0CD8">
        <w:rPr>
          <w:b/>
          <w:color w:val="E36C0A" w:themeColor="accent6" w:themeShade="BF"/>
          <w:sz w:val="24"/>
          <w:szCs w:val="24"/>
        </w:rPr>
        <w:t xml:space="preserve">de l’auteur </w:t>
      </w:r>
    </w:p>
    <w:p w:rsidR="005B0CD8" w:rsidRPr="005B0CD8" w:rsidRDefault="005B0CD8" w:rsidP="00145841">
      <w:pPr>
        <w:autoSpaceDE w:val="0"/>
        <w:autoSpaceDN w:val="0"/>
        <w:adjustRightInd w:val="0"/>
        <w:rPr>
          <w:rFonts w:cs="Verdana"/>
          <w:sz w:val="24"/>
          <w:szCs w:val="24"/>
          <w:lang w:val="en-US"/>
        </w:rPr>
      </w:pPr>
      <w:r w:rsidRPr="005B0CD8">
        <w:rPr>
          <w:rFonts w:cs="Verdana"/>
          <w:sz w:val="24"/>
          <w:szCs w:val="24"/>
          <w:lang w:val="en-US"/>
        </w:rPr>
        <w:t>[Extract from the executive summary]</w:t>
      </w:r>
    </w:p>
    <w:p w:rsidR="00310D5A" w:rsidRDefault="005B0CD8" w:rsidP="00145841">
      <w:pPr>
        <w:tabs>
          <w:tab w:val="left" w:pos="2700"/>
        </w:tabs>
        <w:autoSpaceDE w:val="0"/>
        <w:autoSpaceDN w:val="0"/>
        <w:adjustRightInd w:val="0"/>
        <w:rPr>
          <w:rFonts w:cs="Verdana"/>
          <w:sz w:val="24"/>
          <w:szCs w:val="24"/>
          <w:lang w:val="en-US"/>
        </w:rPr>
      </w:pPr>
      <w:r>
        <w:rPr>
          <w:rFonts w:cs="Verdana"/>
          <w:sz w:val="24"/>
          <w:szCs w:val="24"/>
          <w:lang w:val="en-US"/>
        </w:rPr>
        <w:t xml:space="preserve">Article 27 of the UN Convention (“Work and Employment”) served as the basis from which to develop, in consultation with leading experts, the questions asked in our employment indicators. Like the social indicators, the employment indicators was conducted with questionnaires, using traffic lights and additional remarks as the main means of information. The Zero Project Employment Indicators was undertaken in 82 countries and, with only a few exceptions, the questionnaires were completed by member organizations of the global network Disabled People’s International. The 10 questions covered: </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Protection against discrimination in the process of hiring</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Promotion of employment in the private sector</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Opportunities for self-employment</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Access to vocational and continuous training</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Assistance to find job</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 xml:space="preserve">Right to equal remuneration </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 xml:space="preserve">Gap between the general employment rate and persons with disabilities in employment </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Quota system in the public sector</w:t>
      </w:r>
    </w:p>
    <w:p w:rsid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Rights to redress grievances</w:t>
      </w:r>
    </w:p>
    <w:p w:rsidR="005B0CD8" w:rsidRPr="005B0CD8" w:rsidRDefault="005B0CD8" w:rsidP="005B0CD8">
      <w:pPr>
        <w:pStyle w:val="Paragraphedeliste"/>
        <w:numPr>
          <w:ilvl w:val="0"/>
          <w:numId w:val="25"/>
        </w:numPr>
        <w:tabs>
          <w:tab w:val="left" w:pos="2700"/>
        </w:tabs>
        <w:autoSpaceDE w:val="0"/>
        <w:autoSpaceDN w:val="0"/>
        <w:adjustRightInd w:val="0"/>
        <w:rPr>
          <w:rFonts w:cs="Verdana"/>
          <w:sz w:val="24"/>
          <w:szCs w:val="24"/>
          <w:lang w:val="en-US"/>
        </w:rPr>
      </w:pPr>
      <w:r>
        <w:rPr>
          <w:rFonts w:cs="Verdana"/>
          <w:sz w:val="24"/>
          <w:szCs w:val="24"/>
          <w:lang w:val="en-US"/>
        </w:rPr>
        <w:t>Additional rules relating to the dismissal of persons with disabilities</w:t>
      </w:r>
    </w:p>
    <w:p w:rsidR="005B0CD8" w:rsidRDefault="005B0CD8" w:rsidP="00145841">
      <w:pPr>
        <w:tabs>
          <w:tab w:val="left" w:pos="2700"/>
        </w:tabs>
        <w:autoSpaceDE w:val="0"/>
        <w:autoSpaceDN w:val="0"/>
        <w:adjustRightInd w:val="0"/>
        <w:rPr>
          <w:rFonts w:cs="Verdana"/>
          <w:sz w:val="24"/>
          <w:szCs w:val="24"/>
          <w:lang w:val="en-US"/>
        </w:rPr>
      </w:pPr>
    </w:p>
    <w:p w:rsidR="00145841" w:rsidRPr="005B0CD8" w:rsidRDefault="00310D5A" w:rsidP="00145841">
      <w:pPr>
        <w:tabs>
          <w:tab w:val="left" w:pos="2700"/>
        </w:tabs>
        <w:autoSpaceDE w:val="0"/>
        <w:autoSpaceDN w:val="0"/>
        <w:adjustRightInd w:val="0"/>
        <w:rPr>
          <w:rFonts w:cs="Verdana"/>
          <w:sz w:val="24"/>
          <w:szCs w:val="24"/>
          <w:u w:val="single"/>
        </w:rPr>
      </w:pPr>
      <w:r w:rsidRPr="005B0CD8">
        <w:rPr>
          <w:rFonts w:cs="Verdana"/>
          <w:sz w:val="24"/>
          <w:szCs w:val="24"/>
          <w:u w:val="single"/>
        </w:rPr>
        <w:t>Traduction du résumé :</w:t>
      </w:r>
    </w:p>
    <w:p w:rsidR="00145841" w:rsidRDefault="005B0CD8" w:rsidP="00145841">
      <w:pPr>
        <w:rPr>
          <w:rFonts w:cs="Verdana"/>
          <w:sz w:val="24"/>
          <w:szCs w:val="24"/>
        </w:rPr>
      </w:pPr>
      <w:r>
        <w:rPr>
          <w:rFonts w:cs="Verdana"/>
          <w:sz w:val="24"/>
          <w:szCs w:val="24"/>
        </w:rPr>
        <w:t>[Extrait du résumé]</w:t>
      </w:r>
    </w:p>
    <w:p w:rsidR="005B0CD8" w:rsidRDefault="005B0CD8" w:rsidP="00145841">
      <w:pPr>
        <w:rPr>
          <w:rFonts w:cs="Verdana"/>
          <w:sz w:val="24"/>
          <w:szCs w:val="24"/>
        </w:rPr>
      </w:pPr>
      <w:r>
        <w:rPr>
          <w:rFonts w:cs="Verdana"/>
          <w:sz w:val="24"/>
          <w:szCs w:val="24"/>
        </w:rPr>
        <w:t xml:space="preserve">L’article 27 de la Convention (« Travail et Emploi »), a servi de base sur laquelle développer, en collaboration avec des experts, les questions à </w:t>
      </w:r>
      <w:r w:rsidR="00162179">
        <w:rPr>
          <w:rFonts w:cs="Verdana"/>
          <w:sz w:val="24"/>
          <w:szCs w:val="24"/>
        </w:rPr>
        <w:t xml:space="preserve">poser </w:t>
      </w:r>
      <w:r w:rsidR="00975308">
        <w:rPr>
          <w:rFonts w:cs="Verdana"/>
          <w:sz w:val="24"/>
          <w:szCs w:val="24"/>
        </w:rPr>
        <w:t>dans les</w:t>
      </w:r>
      <w:r w:rsidR="00162179">
        <w:rPr>
          <w:rFonts w:cs="Verdana"/>
          <w:sz w:val="24"/>
          <w:szCs w:val="24"/>
        </w:rPr>
        <w:t xml:space="preserve"> indicateurs de l’emploi. Comme les indicateurs sociaux, les indicateurs de l’emploi ont été </w:t>
      </w:r>
      <w:r w:rsidR="00975308">
        <w:rPr>
          <w:rFonts w:cs="Verdana"/>
          <w:sz w:val="24"/>
          <w:szCs w:val="24"/>
        </w:rPr>
        <w:t>élaborés à partir de questionnaires</w:t>
      </w:r>
      <w:r w:rsidR="00BA0F21">
        <w:rPr>
          <w:rFonts w:cs="Verdana"/>
          <w:sz w:val="24"/>
          <w:szCs w:val="24"/>
        </w:rPr>
        <w:t xml:space="preserve">. Le rapport </w:t>
      </w:r>
      <w:proofErr w:type="spellStart"/>
      <w:r w:rsidR="00BA0F21">
        <w:rPr>
          <w:rFonts w:cs="Verdana"/>
          <w:sz w:val="24"/>
          <w:szCs w:val="24"/>
        </w:rPr>
        <w:t>Zero</w:t>
      </w:r>
      <w:proofErr w:type="spellEnd"/>
      <w:r w:rsidR="00BA0F21">
        <w:rPr>
          <w:rFonts w:cs="Verdana"/>
          <w:sz w:val="24"/>
          <w:szCs w:val="24"/>
        </w:rPr>
        <w:t xml:space="preserve"> Projet : Indicateurs de l’Emploi a été mené dans 82 pays ; les </w:t>
      </w:r>
      <w:r w:rsidR="00BA0F21">
        <w:rPr>
          <w:rFonts w:cs="Verdana"/>
          <w:sz w:val="24"/>
          <w:szCs w:val="24"/>
        </w:rPr>
        <w:lastRenderedPageBreak/>
        <w:t>questionnaires, sauf quelques exceptions, ont été complété par des organisations membres du réseau DPI (</w:t>
      </w:r>
      <w:proofErr w:type="spellStart"/>
      <w:r w:rsidR="00BA0F21">
        <w:rPr>
          <w:rFonts w:cs="Verdana"/>
          <w:sz w:val="24"/>
          <w:szCs w:val="24"/>
        </w:rPr>
        <w:t>Disabled</w:t>
      </w:r>
      <w:proofErr w:type="spellEnd"/>
      <w:r w:rsidR="00BA0F21">
        <w:rPr>
          <w:rFonts w:cs="Verdana"/>
          <w:sz w:val="24"/>
          <w:szCs w:val="24"/>
        </w:rPr>
        <w:t xml:space="preserve"> People International). Les 10 questions concernaient : </w:t>
      </w:r>
    </w:p>
    <w:p w:rsidR="00BA0F21" w:rsidRDefault="00BA0F21" w:rsidP="00BA0F21">
      <w:pPr>
        <w:pStyle w:val="Paragraphedeliste"/>
        <w:numPr>
          <w:ilvl w:val="0"/>
          <w:numId w:val="31"/>
        </w:numPr>
        <w:rPr>
          <w:sz w:val="24"/>
          <w:szCs w:val="24"/>
        </w:rPr>
      </w:pPr>
      <w:r>
        <w:rPr>
          <w:sz w:val="24"/>
          <w:szCs w:val="24"/>
        </w:rPr>
        <w:t>La protection contre les discriminations dans le processus d’embauche</w:t>
      </w:r>
    </w:p>
    <w:p w:rsidR="00BA0F21" w:rsidRDefault="00BA400C" w:rsidP="00BA0F21">
      <w:pPr>
        <w:pStyle w:val="Paragraphedeliste"/>
        <w:numPr>
          <w:ilvl w:val="0"/>
          <w:numId w:val="31"/>
        </w:numPr>
        <w:rPr>
          <w:sz w:val="24"/>
          <w:szCs w:val="24"/>
        </w:rPr>
      </w:pPr>
      <w:r>
        <w:rPr>
          <w:sz w:val="24"/>
          <w:szCs w:val="24"/>
        </w:rPr>
        <w:t>La p</w:t>
      </w:r>
      <w:r w:rsidR="00026D36">
        <w:rPr>
          <w:sz w:val="24"/>
          <w:szCs w:val="24"/>
        </w:rPr>
        <w:t>romotion de l’emploi dans le secteur privé</w:t>
      </w:r>
    </w:p>
    <w:p w:rsidR="00026D36" w:rsidRPr="00BA400C" w:rsidRDefault="00BA400C" w:rsidP="00BA400C">
      <w:pPr>
        <w:pStyle w:val="Paragraphedeliste"/>
        <w:numPr>
          <w:ilvl w:val="0"/>
          <w:numId w:val="31"/>
        </w:numPr>
        <w:rPr>
          <w:sz w:val="24"/>
          <w:szCs w:val="24"/>
        </w:rPr>
      </w:pPr>
      <w:r>
        <w:rPr>
          <w:sz w:val="24"/>
          <w:szCs w:val="24"/>
        </w:rPr>
        <w:t>Les o</w:t>
      </w:r>
      <w:r w:rsidR="00026D36" w:rsidRPr="00BA400C">
        <w:rPr>
          <w:sz w:val="24"/>
          <w:szCs w:val="24"/>
        </w:rPr>
        <w:t>pportunité</w:t>
      </w:r>
      <w:r w:rsidRPr="00BA400C">
        <w:rPr>
          <w:sz w:val="24"/>
          <w:szCs w:val="24"/>
        </w:rPr>
        <w:t>s</w:t>
      </w:r>
      <w:r w:rsidR="00026D36" w:rsidRPr="00BA400C">
        <w:rPr>
          <w:sz w:val="24"/>
          <w:szCs w:val="24"/>
        </w:rPr>
        <w:t xml:space="preserve"> de travail indépendant</w:t>
      </w:r>
    </w:p>
    <w:p w:rsidR="00026D36" w:rsidRDefault="00BA400C" w:rsidP="00BA0F21">
      <w:pPr>
        <w:pStyle w:val="Paragraphedeliste"/>
        <w:numPr>
          <w:ilvl w:val="0"/>
          <w:numId w:val="31"/>
        </w:numPr>
        <w:rPr>
          <w:sz w:val="24"/>
          <w:szCs w:val="24"/>
        </w:rPr>
      </w:pPr>
      <w:r>
        <w:rPr>
          <w:sz w:val="24"/>
          <w:szCs w:val="24"/>
        </w:rPr>
        <w:t>L’a</w:t>
      </w:r>
      <w:r w:rsidR="00026D36">
        <w:rPr>
          <w:sz w:val="24"/>
          <w:szCs w:val="24"/>
        </w:rPr>
        <w:t>ccès à la formation initiale et continue</w:t>
      </w:r>
    </w:p>
    <w:p w:rsidR="00026D36" w:rsidRDefault="00BA400C" w:rsidP="00BA0F21">
      <w:pPr>
        <w:pStyle w:val="Paragraphedeliste"/>
        <w:numPr>
          <w:ilvl w:val="0"/>
          <w:numId w:val="31"/>
        </w:numPr>
        <w:rPr>
          <w:sz w:val="24"/>
          <w:szCs w:val="24"/>
        </w:rPr>
      </w:pPr>
      <w:r>
        <w:rPr>
          <w:sz w:val="24"/>
          <w:szCs w:val="24"/>
        </w:rPr>
        <w:t>L’a</w:t>
      </w:r>
      <w:r w:rsidR="00026D36">
        <w:rPr>
          <w:sz w:val="24"/>
          <w:szCs w:val="24"/>
        </w:rPr>
        <w:t>ide à la recherche d’emploi</w:t>
      </w:r>
    </w:p>
    <w:p w:rsidR="00026D36" w:rsidRDefault="00BA400C" w:rsidP="00BA0F21">
      <w:pPr>
        <w:pStyle w:val="Paragraphedeliste"/>
        <w:numPr>
          <w:ilvl w:val="0"/>
          <w:numId w:val="31"/>
        </w:numPr>
        <w:rPr>
          <w:sz w:val="24"/>
          <w:szCs w:val="24"/>
        </w:rPr>
      </w:pPr>
      <w:r>
        <w:rPr>
          <w:sz w:val="24"/>
          <w:szCs w:val="24"/>
        </w:rPr>
        <w:t>Le droit</w:t>
      </w:r>
      <w:r w:rsidR="00026D36">
        <w:rPr>
          <w:sz w:val="24"/>
          <w:szCs w:val="24"/>
        </w:rPr>
        <w:t xml:space="preserve"> à une rémunération égalitaire</w:t>
      </w:r>
    </w:p>
    <w:p w:rsidR="00026D36" w:rsidRDefault="00BA400C" w:rsidP="00BA0F21">
      <w:pPr>
        <w:pStyle w:val="Paragraphedeliste"/>
        <w:numPr>
          <w:ilvl w:val="0"/>
          <w:numId w:val="31"/>
        </w:numPr>
        <w:rPr>
          <w:sz w:val="24"/>
          <w:szCs w:val="24"/>
        </w:rPr>
      </w:pPr>
      <w:r>
        <w:rPr>
          <w:sz w:val="24"/>
          <w:szCs w:val="24"/>
        </w:rPr>
        <w:t>L’é</w:t>
      </w:r>
      <w:r w:rsidR="00026D36">
        <w:rPr>
          <w:sz w:val="24"/>
          <w:szCs w:val="24"/>
        </w:rPr>
        <w:t>c</w:t>
      </w:r>
      <w:r>
        <w:rPr>
          <w:sz w:val="24"/>
          <w:szCs w:val="24"/>
        </w:rPr>
        <w:t>art entre le taux général d’emploi et celui des personnes handicapées</w:t>
      </w:r>
    </w:p>
    <w:p w:rsidR="00BA400C" w:rsidRDefault="00BA400C" w:rsidP="00BA0F21">
      <w:pPr>
        <w:pStyle w:val="Paragraphedeliste"/>
        <w:numPr>
          <w:ilvl w:val="0"/>
          <w:numId w:val="31"/>
        </w:numPr>
        <w:rPr>
          <w:sz w:val="24"/>
          <w:szCs w:val="24"/>
        </w:rPr>
      </w:pPr>
      <w:r>
        <w:rPr>
          <w:sz w:val="24"/>
          <w:szCs w:val="24"/>
        </w:rPr>
        <w:t>Les systèmes de quota dans le secteur public</w:t>
      </w:r>
    </w:p>
    <w:p w:rsidR="006019F3" w:rsidRPr="006019F3" w:rsidRDefault="00BA400C" w:rsidP="006019F3">
      <w:pPr>
        <w:pStyle w:val="Paragraphedeliste"/>
        <w:numPr>
          <w:ilvl w:val="0"/>
          <w:numId w:val="31"/>
        </w:numPr>
        <w:rPr>
          <w:sz w:val="24"/>
          <w:szCs w:val="24"/>
        </w:rPr>
      </w:pPr>
      <w:r>
        <w:rPr>
          <w:sz w:val="24"/>
          <w:szCs w:val="24"/>
        </w:rPr>
        <w:t xml:space="preserve">Le droit </w:t>
      </w:r>
      <w:r w:rsidR="006019F3">
        <w:rPr>
          <w:sz w:val="24"/>
          <w:szCs w:val="24"/>
        </w:rPr>
        <w:t>d’adresser des griefs</w:t>
      </w:r>
    </w:p>
    <w:p w:rsidR="00BA400C" w:rsidRPr="00BA0F21" w:rsidRDefault="006019F3" w:rsidP="00BA0F21">
      <w:pPr>
        <w:pStyle w:val="Paragraphedeliste"/>
        <w:numPr>
          <w:ilvl w:val="0"/>
          <w:numId w:val="31"/>
        </w:numPr>
        <w:rPr>
          <w:sz w:val="24"/>
          <w:szCs w:val="24"/>
        </w:rPr>
      </w:pPr>
      <w:r>
        <w:rPr>
          <w:sz w:val="24"/>
          <w:szCs w:val="24"/>
        </w:rPr>
        <w:t>Les règles additionnelles relatives au licenciement des personnes handicapées.</w:t>
      </w:r>
    </w:p>
    <w:p w:rsidR="00183DD5" w:rsidRPr="00145841" w:rsidRDefault="00183DD5"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 xml:space="preserve">Commentaire </w:t>
      </w:r>
    </w:p>
    <w:p w:rsidR="00145841" w:rsidRPr="00145841" w:rsidRDefault="00145841" w:rsidP="00145841">
      <w:pPr>
        <w:rPr>
          <w:sz w:val="24"/>
          <w:szCs w:val="24"/>
        </w:rPr>
      </w:pPr>
      <w:r w:rsidRPr="00145841">
        <w:rPr>
          <w:sz w:val="24"/>
          <w:szCs w:val="24"/>
        </w:rPr>
        <w:t>Ce rapport a été sélectionné pour sa richesse et sa diversité en termes de contributions, associant membres de la société civile et chercheurs. Il a été retenu dans cette thématique, car il est particulièrement centré</w:t>
      </w:r>
      <w:r w:rsidR="00C12662">
        <w:rPr>
          <w:sz w:val="24"/>
          <w:szCs w:val="24"/>
        </w:rPr>
        <w:t xml:space="preserve"> sur </w:t>
      </w:r>
      <w:r w:rsidRPr="00145841">
        <w:rPr>
          <w:sz w:val="24"/>
          <w:szCs w:val="24"/>
        </w:rPr>
        <w:t>l’emploi et fait état de la situation dans de nombreux pays européens. Son principal intérêt réside dans la présentation de pratiques et stratégies qualifiées d’innovantes, notamment en Europe. Ce document très riche, pourra être utile aux organisations, ainsi qu’aux porteurs de projets.</w:t>
      </w:r>
    </w:p>
    <w:p w:rsidR="00145841" w:rsidRDefault="00145841" w:rsidP="00145841">
      <w:pPr>
        <w:rPr>
          <w:sz w:val="24"/>
          <w:szCs w:val="24"/>
        </w:rPr>
      </w:pPr>
    </w:p>
    <w:p w:rsidR="0039236F" w:rsidRDefault="00183DD5" w:rsidP="00145841">
      <w:pPr>
        <w:rPr>
          <w:sz w:val="24"/>
          <w:szCs w:val="24"/>
        </w:rPr>
      </w:pPr>
      <w:r>
        <w:rPr>
          <w:sz w:val="24"/>
          <w:szCs w:val="24"/>
        </w:rPr>
        <w:br w:type="page"/>
      </w:r>
    </w:p>
    <w:p w:rsidR="004D38C1" w:rsidRPr="004D38C1" w:rsidRDefault="004D38C1" w:rsidP="004D38C1">
      <w:pPr>
        <w:pStyle w:val="Titre3"/>
        <w:numPr>
          <w:ilvl w:val="0"/>
          <w:numId w:val="13"/>
        </w:numPr>
        <w:rPr>
          <w:b/>
          <w:lang w:val="en-US"/>
        </w:rPr>
      </w:pPr>
      <w:bookmarkStart w:id="22" w:name="_Toc433121283"/>
      <w:proofErr w:type="gramStart"/>
      <w:r w:rsidRPr="003E1710">
        <w:rPr>
          <w:b/>
          <w:lang w:val="en-US"/>
        </w:rPr>
        <w:lastRenderedPageBreak/>
        <w:t>Fiche 2.</w:t>
      </w:r>
      <w:proofErr w:type="gramEnd"/>
      <w:r w:rsidRPr="004D38C1">
        <w:rPr>
          <w:b/>
          <w:lang w:val="en-US"/>
        </w:rPr>
        <w:t xml:space="preserve"> Supported employment for people with disabilities in the EU and EFTA-EEA – Good practices and recommendations in support of a </w:t>
      </w:r>
      <w:proofErr w:type="spellStart"/>
      <w:r w:rsidRPr="004D38C1">
        <w:rPr>
          <w:b/>
          <w:lang w:val="en-US"/>
        </w:rPr>
        <w:t>flexicurity</w:t>
      </w:r>
      <w:proofErr w:type="spellEnd"/>
      <w:r w:rsidRPr="004D38C1">
        <w:rPr>
          <w:b/>
          <w:lang w:val="en-US"/>
        </w:rPr>
        <w:t xml:space="preserve"> approach</w:t>
      </w:r>
      <w:bookmarkEnd w:id="22"/>
    </w:p>
    <w:p w:rsidR="004D38C1" w:rsidRPr="004D38C1" w:rsidRDefault="004D38C1" w:rsidP="00145841">
      <w:pPr>
        <w:rPr>
          <w:sz w:val="24"/>
          <w:szCs w:val="24"/>
          <w:lang w:val="en-US"/>
        </w:rPr>
      </w:pPr>
    </w:p>
    <w:p w:rsidR="00145841" w:rsidRPr="004D38C1" w:rsidRDefault="00145841" w:rsidP="004D38C1">
      <w:pPr>
        <w:rPr>
          <w:sz w:val="24"/>
        </w:rPr>
      </w:pPr>
      <w:proofErr w:type="gramStart"/>
      <w:r w:rsidRPr="004D38C1">
        <w:rPr>
          <w:sz w:val="24"/>
          <w:lang w:val="en-US"/>
        </w:rPr>
        <w:t>COWI.</w:t>
      </w:r>
      <w:proofErr w:type="gramEnd"/>
      <w:r w:rsidRPr="004D38C1">
        <w:rPr>
          <w:sz w:val="24"/>
          <w:lang w:val="en-US"/>
        </w:rPr>
        <w:t xml:space="preserve"> </w:t>
      </w:r>
      <w:proofErr w:type="gramStart"/>
      <w:r w:rsidRPr="004D38C1">
        <w:rPr>
          <w:sz w:val="24"/>
          <w:lang w:val="en-US"/>
        </w:rPr>
        <w:t xml:space="preserve">Supported employment for people with disabilities in the EU and EFTA-EEA – good practices and recommendations in support of a </w:t>
      </w:r>
      <w:proofErr w:type="spellStart"/>
      <w:r w:rsidRPr="004D38C1">
        <w:rPr>
          <w:sz w:val="24"/>
          <w:lang w:val="en-US"/>
        </w:rPr>
        <w:t>flexicurity</w:t>
      </w:r>
      <w:proofErr w:type="spellEnd"/>
      <w:r w:rsidRPr="004D38C1">
        <w:rPr>
          <w:sz w:val="24"/>
          <w:lang w:val="en-US"/>
        </w:rPr>
        <w:t xml:space="preserve"> approach.</w:t>
      </w:r>
      <w:proofErr w:type="gramEnd"/>
      <w:r w:rsidRPr="004D38C1">
        <w:rPr>
          <w:sz w:val="24"/>
          <w:lang w:val="en-US"/>
        </w:rPr>
        <w:t xml:space="preserve"> </w:t>
      </w:r>
      <w:r w:rsidRPr="004D38C1">
        <w:rPr>
          <w:sz w:val="24"/>
        </w:rPr>
        <w:t>2011. 242p</w:t>
      </w:r>
    </w:p>
    <w:p w:rsidR="00145841" w:rsidRPr="003E1710" w:rsidRDefault="00145841" w:rsidP="00145841">
      <w:pPr>
        <w:rPr>
          <w:rFonts w:cs="Verdana"/>
          <w:sz w:val="24"/>
          <w:szCs w:val="24"/>
        </w:rPr>
      </w:pPr>
    </w:p>
    <w:p w:rsidR="00145841" w:rsidRPr="00371E18" w:rsidRDefault="00661D5B" w:rsidP="00145841">
      <w:pPr>
        <w:rPr>
          <w:b/>
          <w:sz w:val="24"/>
          <w:szCs w:val="24"/>
        </w:rPr>
      </w:pPr>
      <w:hyperlink r:id="rId22" w:tooltip="Access to Supported employment for peopel with disabilities in the EU and EFTA-EEA, nouvelle fenêtre" w:history="1">
        <w:r w:rsidR="00145841" w:rsidRPr="00371E18">
          <w:rPr>
            <w:rStyle w:val="Lienhypertexte"/>
            <w:b/>
            <w:color w:val="auto"/>
            <w:sz w:val="24"/>
            <w:szCs w:val="24"/>
          </w:rPr>
          <w:t>Accéder à la notice et au(x) document(s) sur la base documentaire du Centre Ressources Recherche Appliquée et Handicap.</w:t>
        </w:r>
      </w:hyperlink>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Mots clés</w:t>
      </w:r>
    </w:p>
    <w:p w:rsidR="00145841" w:rsidRPr="00145841" w:rsidRDefault="00145841" w:rsidP="00145841">
      <w:pPr>
        <w:rPr>
          <w:sz w:val="24"/>
          <w:szCs w:val="24"/>
        </w:rPr>
      </w:pPr>
      <w:r w:rsidRPr="00145841">
        <w:rPr>
          <w:sz w:val="24"/>
          <w:szCs w:val="24"/>
        </w:rPr>
        <w:t>Emploi. Législation nationale, européenne et Convention ONU</w:t>
      </w:r>
    </w:p>
    <w:p w:rsidR="004D38C1" w:rsidRPr="00145841" w:rsidRDefault="0039236F" w:rsidP="00145841">
      <w:pPr>
        <w:rPr>
          <w:sz w:val="24"/>
          <w:szCs w:val="24"/>
        </w:rPr>
      </w:pPr>
      <w:r>
        <w:rPr>
          <w:sz w:val="24"/>
          <w:szCs w:val="24"/>
        </w:rPr>
        <w:t xml:space="preserve"> </w:t>
      </w:r>
    </w:p>
    <w:p w:rsidR="00145841" w:rsidRPr="00795522" w:rsidRDefault="00145841" w:rsidP="00145841">
      <w:pPr>
        <w:rPr>
          <w:b/>
          <w:color w:val="E36C0A" w:themeColor="accent6" w:themeShade="BF"/>
          <w:sz w:val="24"/>
          <w:szCs w:val="24"/>
          <w:lang w:val="en-US"/>
        </w:rPr>
      </w:pPr>
      <w:r w:rsidRPr="00795522">
        <w:rPr>
          <w:b/>
          <w:color w:val="E36C0A" w:themeColor="accent6" w:themeShade="BF"/>
          <w:sz w:val="24"/>
          <w:szCs w:val="24"/>
          <w:lang w:val="en-US"/>
        </w:rPr>
        <w:t xml:space="preserve">Résumé </w:t>
      </w:r>
      <w:r w:rsidR="005B5D64" w:rsidRPr="00795522">
        <w:rPr>
          <w:b/>
          <w:color w:val="E36C0A" w:themeColor="accent6" w:themeShade="BF"/>
          <w:sz w:val="24"/>
          <w:szCs w:val="24"/>
          <w:lang w:val="en-US"/>
        </w:rPr>
        <w:t xml:space="preserve">de </w:t>
      </w:r>
      <w:proofErr w:type="spellStart"/>
      <w:r w:rsidR="005B5D64" w:rsidRPr="00795522">
        <w:rPr>
          <w:b/>
          <w:color w:val="E36C0A" w:themeColor="accent6" w:themeShade="BF"/>
          <w:sz w:val="24"/>
          <w:szCs w:val="24"/>
          <w:lang w:val="en-US"/>
        </w:rPr>
        <w:t>l’auteur</w:t>
      </w:r>
      <w:proofErr w:type="spellEnd"/>
      <w:r w:rsidR="005B5D64" w:rsidRPr="00795522">
        <w:rPr>
          <w:b/>
          <w:color w:val="E36C0A" w:themeColor="accent6" w:themeShade="BF"/>
          <w:sz w:val="24"/>
          <w:szCs w:val="24"/>
          <w:lang w:val="en-US"/>
        </w:rPr>
        <w:t xml:space="preserve"> </w:t>
      </w:r>
    </w:p>
    <w:p w:rsidR="00145841" w:rsidRPr="00145841" w:rsidRDefault="00145841" w:rsidP="00145841">
      <w:pPr>
        <w:autoSpaceDE w:val="0"/>
        <w:autoSpaceDN w:val="0"/>
        <w:adjustRightInd w:val="0"/>
        <w:rPr>
          <w:rFonts w:cs="Times New Roman"/>
          <w:sz w:val="24"/>
          <w:szCs w:val="24"/>
          <w:lang w:val="en-US"/>
        </w:rPr>
      </w:pPr>
      <w:r w:rsidRPr="00145841">
        <w:rPr>
          <w:rFonts w:cs="Times New Roman"/>
          <w:sz w:val="24"/>
          <w:szCs w:val="24"/>
          <w:lang w:val="en-US"/>
        </w:rPr>
        <w:t>The EU and EFTA_EEA consider participation in society as a fundamental right for all citizens. People with disabilities do face barriers in their daily lives, which impede their full participation. In line with the United Nations Convention on the Rights of People with Disabilities, disability is considered a matter of rights and law. The EU disability strategy 2010-2020 aims at eliminating barriers, preventing discrimination and empowering people with disabilities to enjoy fully their rights and participation in society on equal terms with others.</w:t>
      </w:r>
      <w:r w:rsidR="00567744">
        <w:rPr>
          <w:rFonts w:cs="Times New Roman"/>
          <w:sz w:val="24"/>
          <w:szCs w:val="24"/>
          <w:lang w:val="en-US"/>
        </w:rPr>
        <w:t xml:space="preserve"> </w:t>
      </w:r>
      <w:r w:rsidRPr="00145841">
        <w:rPr>
          <w:rFonts w:cs="Times New Roman"/>
          <w:sz w:val="24"/>
          <w:szCs w:val="24"/>
          <w:lang w:val="en-US"/>
        </w:rPr>
        <w:t>The present study on Supported Employment for people with disabilities in the</w:t>
      </w:r>
    </w:p>
    <w:p w:rsidR="00145841" w:rsidRPr="00145841" w:rsidRDefault="00145841" w:rsidP="00145841">
      <w:pPr>
        <w:autoSpaceDE w:val="0"/>
        <w:autoSpaceDN w:val="0"/>
        <w:adjustRightInd w:val="0"/>
        <w:rPr>
          <w:rFonts w:cs="Times New Roman"/>
          <w:sz w:val="24"/>
          <w:szCs w:val="24"/>
          <w:lang w:val="en-US"/>
        </w:rPr>
      </w:pPr>
      <w:r w:rsidRPr="00145841">
        <w:rPr>
          <w:rFonts w:cs="Times New Roman"/>
          <w:sz w:val="24"/>
          <w:szCs w:val="24"/>
          <w:lang w:val="en-US"/>
        </w:rPr>
        <w:t xml:space="preserve">EU and EFTA-EEA has been initiated to enhance further the possibilities of people with disabilities to participate on the open </w:t>
      </w:r>
      <w:proofErr w:type="spellStart"/>
      <w:r w:rsidRPr="00145841">
        <w:rPr>
          <w:rFonts w:cs="Times New Roman"/>
          <w:sz w:val="24"/>
          <w:szCs w:val="24"/>
          <w:lang w:val="en-US"/>
        </w:rPr>
        <w:t>labour</w:t>
      </w:r>
      <w:proofErr w:type="spellEnd"/>
      <w:r w:rsidRPr="00145841">
        <w:rPr>
          <w:rFonts w:cs="Times New Roman"/>
          <w:sz w:val="24"/>
          <w:szCs w:val="24"/>
          <w:lang w:val="en-US"/>
        </w:rPr>
        <w:t xml:space="preserve"> market.</w:t>
      </w:r>
    </w:p>
    <w:p w:rsidR="00145841" w:rsidRDefault="00145841" w:rsidP="00145841">
      <w:pPr>
        <w:autoSpaceDE w:val="0"/>
        <w:autoSpaceDN w:val="0"/>
        <w:adjustRightInd w:val="0"/>
        <w:rPr>
          <w:rFonts w:cs="Times New Roman"/>
          <w:sz w:val="24"/>
          <w:szCs w:val="24"/>
          <w:lang w:val="en-US"/>
        </w:rPr>
      </w:pPr>
    </w:p>
    <w:p w:rsidR="00310D5A" w:rsidRPr="00EB14A8" w:rsidRDefault="00310D5A" w:rsidP="00145841">
      <w:pPr>
        <w:autoSpaceDE w:val="0"/>
        <w:autoSpaceDN w:val="0"/>
        <w:adjustRightInd w:val="0"/>
        <w:rPr>
          <w:rFonts w:cs="Times New Roman"/>
          <w:sz w:val="24"/>
          <w:szCs w:val="24"/>
          <w:u w:val="single"/>
        </w:rPr>
      </w:pPr>
      <w:r w:rsidRPr="00310D5A">
        <w:rPr>
          <w:rFonts w:cs="Times New Roman"/>
          <w:sz w:val="24"/>
          <w:szCs w:val="24"/>
          <w:u w:val="single"/>
        </w:rPr>
        <w:t>Traduction</w:t>
      </w:r>
      <w:r w:rsidRPr="00EB14A8">
        <w:rPr>
          <w:rFonts w:cs="Times New Roman"/>
          <w:sz w:val="24"/>
          <w:szCs w:val="24"/>
          <w:u w:val="single"/>
        </w:rPr>
        <w:t xml:space="preserve"> du résumé :</w:t>
      </w:r>
    </w:p>
    <w:p w:rsidR="00145841" w:rsidRPr="00145841" w:rsidRDefault="00145841" w:rsidP="00567744">
      <w:pPr>
        <w:autoSpaceDE w:val="0"/>
        <w:autoSpaceDN w:val="0"/>
        <w:adjustRightInd w:val="0"/>
        <w:rPr>
          <w:rFonts w:cs="Times New Roman"/>
          <w:sz w:val="24"/>
          <w:szCs w:val="24"/>
        </w:rPr>
      </w:pPr>
      <w:r w:rsidRPr="00145841">
        <w:rPr>
          <w:rFonts w:cs="Times New Roman"/>
          <w:sz w:val="24"/>
          <w:szCs w:val="24"/>
        </w:rPr>
        <w:t>L’Union Européenne et l’Espace économique européen considèrent la participation dans la société comme un droit fondamental pour tous les citoyens. Les personnes en situation de handicap font face à des barrières dans leur vie quotidienne qui gênent leur participation totale dans la société. En accord avec la Convention des Nations-Unies relative aux Droits des Personnes Handicapées, le handicap est considéré comme une affaire de droit et de politique. La stratégie 2010-2020 de l’Union Européenne vise à supprimer les barrières en limitant la discrimination et en inspirant les personnes en situation de handicap à profiter  pleinement de leurs droits et de leur participation dans la société à base égale avec les autres. Cette étude sur l’emploi accompagné pour les personnes handicapées dans l’Union européenne et l’Espace Economique Européen a été lancée pour améliorer les possibilités pour les personnes en situation de handicap de participer au marché libre du travail.</w:t>
      </w:r>
    </w:p>
    <w:p w:rsidR="00E56291" w:rsidRPr="00145841" w:rsidRDefault="00E5629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Commentaire</w:t>
      </w:r>
    </w:p>
    <w:p w:rsidR="00145841" w:rsidRPr="00145841" w:rsidRDefault="00145841" w:rsidP="00145841">
      <w:pPr>
        <w:rPr>
          <w:sz w:val="24"/>
          <w:szCs w:val="24"/>
        </w:rPr>
      </w:pPr>
      <w:r w:rsidRPr="00145841">
        <w:rPr>
          <w:sz w:val="24"/>
          <w:szCs w:val="24"/>
        </w:rPr>
        <w:t xml:space="preserve">Ce document porte sur la thématique de l’emploi accompagné. Il a été réalisé en partenariat à partir d’un </w:t>
      </w:r>
      <w:proofErr w:type="spellStart"/>
      <w:r w:rsidRPr="00145841">
        <w:rPr>
          <w:sz w:val="24"/>
          <w:szCs w:val="24"/>
        </w:rPr>
        <w:t>mapping</w:t>
      </w:r>
      <w:proofErr w:type="spellEnd"/>
      <w:r w:rsidRPr="00145841">
        <w:rPr>
          <w:sz w:val="24"/>
          <w:szCs w:val="24"/>
        </w:rPr>
        <w:t xml:space="preserve"> général, d’une étude approfondie dans une sélection d’Etats et d’une compilation des pratiques inspirantes dans ce domaine. L’intérêt principal du document </w:t>
      </w:r>
      <w:r w:rsidRPr="00145841">
        <w:rPr>
          <w:sz w:val="24"/>
          <w:szCs w:val="24"/>
        </w:rPr>
        <w:lastRenderedPageBreak/>
        <w:t>réside dans le fait qu’il aborde la thématique particulière de la « </w:t>
      </w:r>
      <w:proofErr w:type="spellStart"/>
      <w:r w:rsidRPr="00145841">
        <w:rPr>
          <w:sz w:val="24"/>
          <w:szCs w:val="24"/>
        </w:rPr>
        <w:t>flexisécurité</w:t>
      </w:r>
      <w:proofErr w:type="spellEnd"/>
      <w:r w:rsidRPr="00145841">
        <w:rPr>
          <w:sz w:val="24"/>
          <w:szCs w:val="24"/>
        </w:rPr>
        <w:t> » et de l’emploi accompagné vis-à-vis de la Conventi</w:t>
      </w:r>
      <w:r w:rsidR="007A4830">
        <w:rPr>
          <w:sz w:val="24"/>
          <w:szCs w:val="24"/>
        </w:rPr>
        <w:t>on Internationale relative aux Droits des Personnes H</w:t>
      </w:r>
      <w:r w:rsidRPr="00145841">
        <w:rPr>
          <w:sz w:val="24"/>
          <w:szCs w:val="24"/>
        </w:rPr>
        <w:t>andicapées. Cette étude, réalisée e</w:t>
      </w:r>
      <w:r w:rsidR="0010731D">
        <w:rPr>
          <w:sz w:val="24"/>
          <w:szCs w:val="24"/>
        </w:rPr>
        <w:t>n</w:t>
      </w:r>
      <w:r w:rsidRPr="00145841">
        <w:rPr>
          <w:sz w:val="24"/>
          <w:szCs w:val="24"/>
        </w:rPr>
        <w:t xml:space="preserve"> partenariat avec de nombreux acteurs de terrain et acteurs de la thématique de l’emploi, sera particulièrement utile pour se représenter le vaste domaine de l’emploi accompagné dans les pays européens.</w:t>
      </w:r>
    </w:p>
    <w:p w:rsidR="00145841" w:rsidRDefault="002E14DD" w:rsidP="00145841">
      <w:pPr>
        <w:rPr>
          <w:sz w:val="24"/>
          <w:szCs w:val="24"/>
        </w:rPr>
      </w:pPr>
      <w:r>
        <w:rPr>
          <w:sz w:val="24"/>
          <w:szCs w:val="24"/>
        </w:rPr>
        <w:br w:type="page"/>
      </w:r>
    </w:p>
    <w:p w:rsidR="004D38C1" w:rsidRPr="004D38C1" w:rsidRDefault="004D38C1" w:rsidP="004D38C1">
      <w:pPr>
        <w:pStyle w:val="Titre3"/>
        <w:numPr>
          <w:ilvl w:val="0"/>
          <w:numId w:val="13"/>
        </w:numPr>
        <w:rPr>
          <w:b/>
          <w:lang w:val="en-US"/>
        </w:rPr>
      </w:pPr>
      <w:bookmarkStart w:id="23" w:name="_Toc433121284"/>
      <w:proofErr w:type="gramStart"/>
      <w:r w:rsidRPr="004D38C1">
        <w:rPr>
          <w:b/>
          <w:lang w:val="en-US"/>
        </w:rPr>
        <w:lastRenderedPageBreak/>
        <w:t>Fiche 3.</w:t>
      </w:r>
      <w:proofErr w:type="gramEnd"/>
      <w:r w:rsidRPr="004D38C1">
        <w:rPr>
          <w:b/>
          <w:lang w:val="en-US"/>
        </w:rPr>
        <w:t xml:space="preserve"> Compendium of good practice: supported employment for people with disabilities in the EU and EFTA-EEA</w:t>
      </w:r>
      <w:bookmarkEnd w:id="23"/>
    </w:p>
    <w:p w:rsidR="004D38C1" w:rsidRPr="004D38C1" w:rsidRDefault="004D38C1" w:rsidP="00145841">
      <w:pPr>
        <w:rPr>
          <w:sz w:val="24"/>
          <w:szCs w:val="24"/>
          <w:lang w:val="en-US"/>
        </w:rPr>
      </w:pPr>
    </w:p>
    <w:p w:rsidR="00145841" w:rsidRPr="00567744" w:rsidRDefault="00145841" w:rsidP="004D38C1">
      <w:proofErr w:type="gramStart"/>
      <w:r w:rsidRPr="00795522">
        <w:rPr>
          <w:lang w:val="en-US"/>
        </w:rPr>
        <w:t>COWI.</w:t>
      </w:r>
      <w:proofErr w:type="gramEnd"/>
      <w:r w:rsidRPr="00795522">
        <w:rPr>
          <w:lang w:val="en-US"/>
        </w:rPr>
        <w:t xml:space="preserve"> Compendium of good practice: Supported employment for people with disabilities in the EU and EFTA-EEA. </w:t>
      </w:r>
      <w:r w:rsidRPr="00567744">
        <w:t>2011. 49p</w:t>
      </w:r>
    </w:p>
    <w:p w:rsidR="00145841" w:rsidRPr="00145841" w:rsidRDefault="00145841" w:rsidP="00145841">
      <w:pPr>
        <w:rPr>
          <w:sz w:val="24"/>
          <w:szCs w:val="24"/>
        </w:rPr>
      </w:pPr>
    </w:p>
    <w:p w:rsidR="00145841" w:rsidRPr="00371E18" w:rsidRDefault="00661D5B" w:rsidP="00145841">
      <w:pPr>
        <w:rPr>
          <w:b/>
          <w:sz w:val="24"/>
          <w:szCs w:val="24"/>
        </w:rPr>
      </w:pPr>
      <w:hyperlink r:id="rId23" w:tooltip="Accéder à Compendium of good pratice : support employment for people with disabilities, nouvelle fenêtre" w:history="1">
        <w:r w:rsidR="00145841" w:rsidRPr="00371E18">
          <w:rPr>
            <w:rStyle w:val="Lienhypertexte"/>
            <w:b/>
            <w:color w:val="auto"/>
            <w:sz w:val="24"/>
            <w:szCs w:val="24"/>
          </w:rPr>
          <w:t>Accéder à la notice et au(x) document(s) sur la base documentaire du Centre Ressources Recherche Appliquée et Handicap.</w:t>
        </w:r>
      </w:hyperlink>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Mots clés</w:t>
      </w:r>
    </w:p>
    <w:p w:rsidR="00145841" w:rsidRPr="00145841" w:rsidRDefault="00145841" w:rsidP="00145841">
      <w:pPr>
        <w:rPr>
          <w:sz w:val="24"/>
          <w:szCs w:val="24"/>
        </w:rPr>
      </w:pPr>
      <w:r w:rsidRPr="00145841">
        <w:rPr>
          <w:sz w:val="24"/>
          <w:szCs w:val="24"/>
        </w:rPr>
        <w:t>Emploi</w:t>
      </w:r>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 xml:space="preserve">Résumé </w:t>
      </w:r>
      <w:r w:rsidR="005B5D64">
        <w:rPr>
          <w:b/>
          <w:color w:val="E36C0A" w:themeColor="accent6" w:themeShade="BF"/>
          <w:sz w:val="24"/>
          <w:szCs w:val="24"/>
        </w:rPr>
        <w:t>de l’auteur</w:t>
      </w:r>
    </w:p>
    <w:p w:rsidR="00145841" w:rsidRPr="00145841" w:rsidRDefault="00145841" w:rsidP="00145841">
      <w:pPr>
        <w:autoSpaceDE w:val="0"/>
        <w:autoSpaceDN w:val="0"/>
        <w:adjustRightInd w:val="0"/>
        <w:rPr>
          <w:rFonts w:cs="Times New Roman"/>
          <w:sz w:val="24"/>
          <w:szCs w:val="24"/>
          <w:lang w:val="en-US"/>
        </w:rPr>
      </w:pPr>
      <w:r w:rsidRPr="00145841">
        <w:rPr>
          <w:rFonts w:cs="Times New Roman"/>
          <w:sz w:val="24"/>
          <w:szCs w:val="24"/>
          <w:lang w:val="en-US"/>
        </w:rPr>
        <w:t>The good practice examples introduced in this report is a part of a general study of Supported Employment for people with disabilities in the EU and EFTAEEA.</w:t>
      </w:r>
    </w:p>
    <w:p w:rsidR="00145841" w:rsidRPr="00145841" w:rsidRDefault="00145841" w:rsidP="00145841">
      <w:pPr>
        <w:autoSpaceDE w:val="0"/>
        <w:autoSpaceDN w:val="0"/>
        <w:adjustRightInd w:val="0"/>
        <w:rPr>
          <w:rFonts w:cs="Times New Roman"/>
          <w:sz w:val="24"/>
          <w:szCs w:val="24"/>
          <w:lang w:val="en-US"/>
        </w:rPr>
      </w:pPr>
      <w:r w:rsidRPr="00145841">
        <w:rPr>
          <w:rFonts w:cs="Times New Roman"/>
          <w:sz w:val="24"/>
          <w:szCs w:val="24"/>
          <w:lang w:val="en-US"/>
        </w:rPr>
        <w:t>The general study consists of a mapping of Supported Employment in 30 countries and an in-depth study in six selected countries. The search for good practice examples of Supported Employment took place within the same selected countries as the ones selected for in-depth studies: Austria, Czech Republic, Norway, Spain, Sweden and the UK.</w:t>
      </w:r>
    </w:p>
    <w:p w:rsidR="00145841" w:rsidRDefault="00145841" w:rsidP="00145841">
      <w:pPr>
        <w:autoSpaceDE w:val="0"/>
        <w:autoSpaceDN w:val="0"/>
        <w:adjustRightInd w:val="0"/>
        <w:rPr>
          <w:rFonts w:cs="Times New Roman"/>
          <w:sz w:val="24"/>
          <w:szCs w:val="24"/>
          <w:lang w:val="en-US"/>
        </w:rPr>
      </w:pPr>
    </w:p>
    <w:p w:rsidR="00310D5A" w:rsidRPr="00310D5A" w:rsidRDefault="00310D5A" w:rsidP="00145841">
      <w:pPr>
        <w:autoSpaceDE w:val="0"/>
        <w:autoSpaceDN w:val="0"/>
        <w:adjustRightInd w:val="0"/>
        <w:rPr>
          <w:rFonts w:cs="Times New Roman"/>
          <w:sz w:val="24"/>
          <w:szCs w:val="24"/>
          <w:u w:val="single"/>
        </w:rPr>
      </w:pPr>
      <w:r w:rsidRPr="00310D5A">
        <w:rPr>
          <w:rFonts w:cs="Times New Roman"/>
          <w:sz w:val="24"/>
          <w:szCs w:val="24"/>
          <w:u w:val="single"/>
        </w:rPr>
        <w:t>Traduction du résumé :</w:t>
      </w:r>
    </w:p>
    <w:p w:rsidR="00145841" w:rsidRPr="00145841" w:rsidRDefault="00145841" w:rsidP="00145841">
      <w:pPr>
        <w:rPr>
          <w:sz w:val="24"/>
          <w:szCs w:val="24"/>
        </w:rPr>
      </w:pPr>
      <w:r w:rsidRPr="00145841">
        <w:rPr>
          <w:rFonts w:cs="Times New Roman"/>
          <w:sz w:val="24"/>
          <w:szCs w:val="24"/>
        </w:rPr>
        <w:t>Les exemples de bonnes pratiques présentés dans ce rapport font partie de l’étude sur l’emploi accompagné pour les personnes handicapées dans l’UE et l’EEE. L’étude principale a consisté dans l’élaboration d’une cartographie de l’emploi accompagné dans 30 pays et une étude plus approfondie dans six pays sélectionnés. La recherche d’exemples de bonnes pratiques en termes d’emploi accompagné a été fait dans les même six pays : l’Autriche, la République tchèque, la Norvège, l’Espagne, la Suède et le Royaume-Uni.</w:t>
      </w:r>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 xml:space="preserve">Commentaire </w:t>
      </w:r>
    </w:p>
    <w:p w:rsidR="00145841" w:rsidRPr="00145841" w:rsidRDefault="00145841" w:rsidP="00145841">
      <w:pPr>
        <w:rPr>
          <w:rFonts w:cs="Verdana"/>
          <w:sz w:val="24"/>
          <w:szCs w:val="24"/>
        </w:rPr>
      </w:pPr>
      <w:r w:rsidRPr="00145841">
        <w:rPr>
          <w:sz w:val="24"/>
          <w:szCs w:val="24"/>
        </w:rPr>
        <w:t>Ce document est en lien avec l’étude principale réalisée par COWI (</w:t>
      </w:r>
      <w:proofErr w:type="spellStart"/>
      <w:r w:rsidRPr="00795522">
        <w:rPr>
          <w:rFonts w:cs="Verdana"/>
          <w:sz w:val="24"/>
          <w:szCs w:val="24"/>
        </w:rPr>
        <w:t>Supported</w:t>
      </w:r>
      <w:proofErr w:type="spellEnd"/>
      <w:r w:rsidRPr="00795522">
        <w:rPr>
          <w:rFonts w:cs="Verdana"/>
          <w:sz w:val="24"/>
          <w:szCs w:val="24"/>
        </w:rPr>
        <w:t xml:space="preserve"> </w:t>
      </w:r>
      <w:proofErr w:type="spellStart"/>
      <w:r w:rsidRPr="00795522">
        <w:rPr>
          <w:rFonts w:cs="Verdana"/>
          <w:sz w:val="24"/>
          <w:szCs w:val="24"/>
        </w:rPr>
        <w:t>employment</w:t>
      </w:r>
      <w:proofErr w:type="spellEnd"/>
      <w:r w:rsidRPr="00795522">
        <w:rPr>
          <w:rFonts w:cs="Verdana"/>
          <w:sz w:val="24"/>
          <w:szCs w:val="24"/>
        </w:rPr>
        <w:t xml:space="preserve"> for people </w:t>
      </w:r>
      <w:proofErr w:type="spellStart"/>
      <w:r w:rsidRPr="00795522">
        <w:rPr>
          <w:rFonts w:cs="Verdana"/>
          <w:sz w:val="24"/>
          <w:szCs w:val="24"/>
        </w:rPr>
        <w:t>with</w:t>
      </w:r>
      <w:proofErr w:type="spellEnd"/>
      <w:r w:rsidRPr="00795522">
        <w:rPr>
          <w:rFonts w:cs="Verdana"/>
          <w:sz w:val="24"/>
          <w:szCs w:val="24"/>
        </w:rPr>
        <w:t xml:space="preserve"> </w:t>
      </w:r>
      <w:proofErr w:type="spellStart"/>
      <w:r w:rsidRPr="00795522">
        <w:rPr>
          <w:rFonts w:cs="Verdana"/>
          <w:sz w:val="24"/>
          <w:szCs w:val="24"/>
        </w:rPr>
        <w:t>disabilities</w:t>
      </w:r>
      <w:proofErr w:type="spellEnd"/>
      <w:r w:rsidRPr="00795522">
        <w:rPr>
          <w:rFonts w:cs="Verdana"/>
          <w:sz w:val="24"/>
          <w:szCs w:val="24"/>
        </w:rPr>
        <w:t xml:space="preserve"> in the EU and EFTA-EEA – good practices and </w:t>
      </w:r>
      <w:proofErr w:type="spellStart"/>
      <w:r w:rsidRPr="00795522">
        <w:rPr>
          <w:rFonts w:cs="Verdana"/>
          <w:sz w:val="24"/>
          <w:szCs w:val="24"/>
        </w:rPr>
        <w:t>recommendations</w:t>
      </w:r>
      <w:proofErr w:type="spellEnd"/>
      <w:r w:rsidRPr="00795522">
        <w:rPr>
          <w:rFonts w:cs="Verdana"/>
          <w:sz w:val="24"/>
          <w:szCs w:val="24"/>
        </w:rPr>
        <w:t xml:space="preserve"> in support of a </w:t>
      </w:r>
      <w:proofErr w:type="spellStart"/>
      <w:r w:rsidRPr="00795522">
        <w:rPr>
          <w:rFonts w:cs="Verdana"/>
          <w:sz w:val="24"/>
          <w:szCs w:val="24"/>
        </w:rPr>
        <w:t>flexicurity</w:t>
      </w:r>
      <w:proofErr w:type="spellEnd"/>
      <w:r w:rsidRPr="00795522">
        <w:rPr>
          <w:rFonts w:cs="Verdana"/>
          <w:sz w:val="24"/>
          <w:szCs w:val="24"/>
        </w:rPr>
        <w:t xml:space="preserve"> </w:t>
      </w:r>
      <w:proofErr w:type="spellStart"/>
      <w:r w:rsidRPr="00795522">
        <w:rPr>
          <w:rFonts w:cs="Verdana"/>
          <w:sz w:val="24"/>
          <w:szCs w:val="24"/>
        </w:rPr>
        <w:t>approach</w:t>
      </w:r>
      <w:proofErr w:type="spellEnd"/>
      <w:r w:rsidRPr="00145841">
        <w:rPr>
          <w:rFonts w:cs="Verdana"/>
          <w:sz w:val="24"/>
          <w:szCs w:val="24"/>
        </w:rPr>
        <w:t>). Il présente des exemples de pratiques encourageantes en Europe sur la thématique de l’emploi accompagné, pouvant être utiles aux acteurs de terrain.</w:t>
      </w:r>
    </w:p>
    <w:p w:rsidR="00145841" w:rsidRDefault="00183DD5" w:rsidP="00145841">
      <w:pPr>
        <w:rPr>
          <w:rFonts w:cs="Verdana"/>
          <w:sz w:val="24"/>
          <w:szCs w:val="24"/>
        </w:rPr>
      </w:pPr>
      <w:r>
        <w:rPr>
          <w:rFonts w:cs="Verdana"/>
          <w:sz w:val="24"/>
          <w:szCs w:val="24"/>
        </w:rPr>
        <w:br w:type="page"/>
      </w:r>
    </w:p>
    <w:p w:rsidR="004D38C1" w:rsidRPr="004D38C1" w:rsidRDefault="004D38C1" w:rsidP="004D38C1">
      <w:pPr>
        <w:pStyle w:val="Titre3"/>
        <w:numPr>
          <w:ilvl w:val="0"/>
          <w:numId w:val="13"/>
        </w:numPr>
        <w:rPr>
          <w:b/>
          <w:lang w:val="en-US"/>
        </w:rPr>
      </w:pPr>
      <w:bookmarkStart w:id="24" w:name="_Toc433121285"/>
      <w:proofErr w:type="gramStart"/>
      <w:r w:rsidRPr="003E1710">
        <w:rPr>
          <w:b/>
          <w:lang w:val="en-US"/>
        </w:rPr>
        <w:lastRenderedPageBreak/>
        <w:t>Fiche 4.</w:t>
      </w:r>
      <w:proofErr w:type="gramEnd"/>
      <w:r w:rsidRPr="004D38C1">
        <w:rPr>
          <w:b/>
          <w:lang w:val="en-US"/>
        </w:rPr>
        <w:t xml:space="preserve"> The </w:t>
      </w:r>
      <w:proofErr w:type="spellStart"/>
      <w:r w:rsidRPr="004D38C1">
        <w:rPr>
          <w:b/>
          <w:lang w:val="en-US"/>
        </w:rPr>
        <w:t>labour</w:t>
      </w:r>
      <w:proofErr w:type="spellEnd"/>
      <w:r w:rsidRPr="004D38C1">
        <w:rPr>
          <w:b/>
          <w:lang w:val="en-US"/>
        </w:rPr>
        <w:t xml:space="preserve"> market situation of disabled people in European countries and implementation of employment policies: a summary of evidence from country reports and research studies</w:t>
      </w:r>
      <w:bookmarkEnd w:id="24"/>
    </w:p>
    <w:p w:rsidR="004D38C1" w:rsidRPr="004D38C1" w:rsidRDefault="004D38C1" w:rsidP="00145841">
      <w:pPr>
        <w:rPr>
          <w:rFonts w:cs="Verdana"/>
          <w:sz w:val="24"/>
          <w:szCs w:val="24"/>
          <w:lang w:val="en-US"/>
        </w:rPr>
      </w:pPr>
    </w:p>
    <w:p w:rsidR="00145841" w:rsidRPr="004D38C1" w:rsidRDefault="00145841" w:rsidP="004D38C1">
      <w:pPr>
        <w:rPr>
          <w:sz w:val="24"/>
        </w:rPr>
      </w:pPr>
      <w:proofErr w:type="spellStart"/>
      <w:r w:rsidRPr="004D38C1">
        <w:rPr>
          <w:sz w:val="24"/>
          <w:lang w:val="en-US"/>
        </w:rPr>
        <w:t>Greve</w:t>
      </w:r>
      <w:proofErr w:type="spellEnd"/>
      <w:r w:rsidRPr="004D38C1">
        <w:rPr>
          <w:sz w:val="24"/>
          <w:lang w:val="en-US"/>
        </w:rPr>
        <w:t xml:space="preserve"> B. The </w:t>
      </w:r>
      <w:proofErr w:type="spellStart"/>
      <w:r w:rsidRPr="004D38C1">
        <w:rPr>
          <w:sz w:val="24"/>
          <w:lang w:val="en-US"/>
        </w:rPr>
        <w:t>labour</w:t>
      </w:r>
      <w:proofErr w:type="spellEnd"/>
      <w:r w:rsidRPr="004D38C1">
        <w:rPr>
          <w:sz w:val="24"/>
          <w:lang w:val="en-US"/>
        </w:rPr>
        <w:t xml:space="preserve"> market situation of disabled people in European countries and implementation of employment policies: a summary of evidence from country reports and research studies. </w:t>
      </w:r>
      <w:r w:rsidRPr="004D38C1">
        <w:rPr>
          <w:sz w:val="24"/>
        </w:rPr>
        <w:t>ANED. 2009. 46 p</w:t>
      </w:r>
    </w:p>
    <w:p w:rsidR="00145841" w:rsidRPr="00145841" w:rsidRDefault="00145841" w:rsidP="00145841">
      <w:pPr>
        <w:rPr>
          <w:sz w:val="24"/>
          <w:szCs w:val="24"/>
        </w:rPr>
      </w:pPr>
    </w:p>
    <w:p w:rsidR="00145841" w:rsidRPr="00371E18" w:rsidRDefault="00661D5B" w:rsidP="00145841">
      <w:pPr>
        <w:rPr>
          <w:b/>
          <w:sz w:val="24"/>
          <w:szCs w:val="24"/>
        </w:rPr>
      </w:pPr>
      <w:hyperlink r:id="rId24" w:tooltip="Accéder à The labour market situation of disabled people in European countires and implementation of employment policies, nouvelle fenêtre" w:history="1">
        <w:r w:rsidR="00145841" w:rsidRPr="00371E18">
          <w:rPr>
            <w:rStyle w:val="Lienhypertexte"/>
            <w:b/>
            <w:color w:val="auto"/>
            <w:sz w:val="24"/>
            <w:szCs w:val="24"/>
          </w:rPr>
          <w:t>Accéder à la notice et au(x) document(s) sur la base documentaire du Centre Ressources Recherche Appliquée et Handicap.</w:t>
        </w:r>
      </w:hyperlink>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Mots clés</w:t>
      </w:r>
    </w:p>
    <w:p w:rsidR="00145841" w:rsidRPr="00145841" w:rsidRDefault="00145841" w:rsidP="00145841">
      <w:pPr>
        <w:rPr>
          <w:sz w:val="24"/>
          <w:szCs w:val="24"/>
        </w:rPr>
      </w:pPr>
      <w:r w:rsidRPr="00145841">
        <w:rPr>
          <w:sz w:val="24"/>
          <w:szCs w:val="24"/>
        </w:rPr>
        <w:t>Emploi</w:t>
      </w:r>
    </w:p>
    <w:p w:rsidR="00145841" w:rsidRPr="00145841" w:rsidRDefault="00145841"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 xml:space="preserve">Résumé </w:t>
      </w:r>
      <w:r w:rsidR="005B5D64">
        <w:rPr>
          <w:b/>
          <w:color w:val="E36C0A" w:themeColor="accent6" w:themeShade="BF"/>
          <w:sz w:val="24"/>
          <w:szCs w:val="24"/>
        </w:rPr>
        <w:t xml:space="preserve">de l’auteur </w:t>
      </w:r>
    </w:p>
    <w:p w:rsidR="00145841" w:rsidRPr="00145841" w:rsidRDefault="00145841" w:rsidP="00145841">
      <w:pPr>
        <w:autoSpaceDE w:val="0"/>
        <w:autoSpaceDN w:val="0"/>
        <w:adjustRightInd w:val="0"/>
        <w:rPr>
          <w:rFonts w:cs="Times New Roman"/>
          <w:sz w:val="24"/>
          <w:szCs w:val="24"/>
          <w:lang w:val="en-US"/>
        </w:rPr>
      </w:pPr>
      <w:r w:rsidRPr="00145841">
        <w:rPr>
          <w:sz w:val="24"/>
          <w:szCs w:val="24"/>
          <w:lang w:val="en-US"/>
        </w:rPr>
        <w:t xml:space="preserve">This report is based on evidence submitted in national reports produced by members of the Academic Network of European Disability experts (ANED) representing the EU Member States (except Luxembourg) plus Norway and Iceland. It is supplemented with evidence from existing studies with a focus on disabled people’s access to integration and retention in the </w:t>
      </w:r>
      <w:proofErr w:type="spellStart"/>
      <w:r w:rsidRPr="00145841">
        <w:rPr>
          <w:sz w:val="24"/>
          <w:szCs w:val="24"/>
          <w:lang w:val="en-US"/>
        </w:rPr>
        <w:t>labour</w:t>
      </w:r>
      <w:proofErr w:type="spellEnd"/>
      <w:r w:rsidRPr="00145841">
        <w:rPr>
          <w:sz w:val="24"/>
          <w:szCs w:val="24"/>
          <w:lang w:val="en-US"/>
        </w:rPr>
        <w:t xml:space="preserve"> market, and recommendations to enhance the current position.</w:t>
      </w:r>
    </w:p>
    <w:p w:rsidR="00145841" w:rsidRDefault="00145841" w:rsidP="00145841">
      <w:pPr>
        <w:autoSpaceDE w:val="0"/>
        <w:autoSpaceDN w:val="0"/>
        <w:adjustRightInd w:val="0"/>
        <w:rPr>
          <w:rFonts w:cs="Times New Roman"/>
          <w:sz w:val="24"/>
          <w:szCs w:val="24"/>
          <w:lang w:val="en-US"/>
        </w:rPr>
      </w:pPr>
    </w:p>
    <w:p w:rsidR="00310D5A" w:rsidRPr="00310D5A" w:rsidRDefault="00310D5A" w:rsidP="00145841">
      <w:pPr>
        <w:autoSpaceDE w:val="0"/>
        <w:autoSpaceDN w:val="0"/>
        <w:adjustRightInd w:val="0"/>
        <w:rPr>
          <w:rFonts w:cs="Times New Roman"/>
          <w:sz w:val="24"/>
          <w:szCs w:val="24"/>
          <w:u w:val="single"/>
        </w:rPr>
      </w:pPr>
      <w:r w:rsidRPr="00310D5A">
        <w:rPr>
          <w:rFonts w:cs="Times New Roman"/>
          <w:sz w:val="24"/>
          <w:szCs w:val="24"/>
          <w:u w:val="single"/>
        </w:rPr>
        <w:t>Traduction du résumé :</w:t>
      </w:r>
    </w:p>
    <w:p w:rsidR="00145841" w:rsidRPr="00145841" w:rsidRDefault="00145841" w:rsidP="00145841">
      <w:pPr>
        <w:rPr>
          <w:sz w:val="24"/>
          <w:szCs w:val="24"/>
        </w:rPr>
      </w:pPr>
      <w:r w:rsidRPr="00145841">
        <w:rPr>
          <w:rFonts w:cs="Times New Roman"/>
          <w:sz w:val="24"/>
          <w:szCs w:val="24"/>
        </w:rPr>
        <w:t xml:space="preserve">Ce rapport est basé </w:t>
      </w:r>
      <w:r w:rsidR="00C12662">
        <w:rPr>
          <w:rFonts w:cs="Times New Roman"/>
          <w:sz w:val="24"/>
          <w:szCs w:val="24"/>
        </w:rPr>
        <w:t>sur les</w:t>
      </w:r>
      <w:r w:rsidRPr="00145841">
        <w:rPr>
          <w:rFonts w:cs="Times New Roman"/>
          <w:sz w:val="24"/>
          <w:szCs w:val="24"/>
        </w:rPr>
        <w:t xml:space="preserve"> données rassemblées par les rapports nationaux produits par les membres de l’ANED qui représentent les pays membres de l’Unions Européenne (sauf le Luxembourg) plus la Norvège et l’Islande. Il est complété par des données de rapports existants</w:t>
      </w:r>
      <w:r w:rsidR="00C12662">
        <w:rPr>
          <w:rFonts w:cs="Times New Roman"/>
          <w:sz w:val="24"/>
          <w:szCs w:val="24"/>
        </w:rPr>
        <w:t xml:space="preserve"> avec un focus sur l’accès des </w:t>
      </w:r>
      <w:r w:rsidRPr="00145841">
        <w:rPr>
          <w:rFonts w:cs="Times New Roman"/>
          <w:sz w:val="24"/>
          <w:szCs w:val="24"/>
        </w:rPr>
        <w:t>personnes handicapées à l’intégration et le maintien dans le marché libre du travail, et des recommandations pour améliorer la situation actuelle.</w:t>
      </w:r>
    </w:p>
    <w:p w:rsidR="005B5D64" w:rsidRPr="00145841" w:rsidRDefault="005B5D64" w:rsidP="00145841">
      <w:pPr>
        <w:rPr>
          <w:sz w:val="24"/>
          <w:szCs w:val="24"/>
        </w:rPr>
      </w:pPr>
    </w:p>
    <w:p w:rsidR="00145841" w:rsidRPr="00567744" w:rsidRDefault="00145841" w:rsidP="00145841">
      <w:pPr>
        <w:rPr>
          <w:b/>
          <w:color w:val="E36C0A" w:themeColor="accent6" w:themeShade="BF"/>
          <w:sz w:val="24"/>
          <w:szCs w:val="24"/>
        </w:rPr>
      </w:pPr>
      <w:r w:rsidRPr="00567744">
        <w:rPr>
          <w:b/>
          <w:color w:val="E36C0A" w:themeColor="accent6" w:themeShade="BF"/>
          <w:sz w:val="24"/>
          <w:szCs w:val="24"/>
        </w:rPr>
        <w:t xml:space="preserve">Commentaire </w:t>
      </w:r>
    </w:p>
    <w:p w:rsidR="00183DD5" w:rsidRDefault="00145841" w:rsidP="005E6002">
      <w:pPr>
        <w:rPr>
          <w:sz w:val="24"/>
        </w:rPr>
      </w:pPr>
      <w:r w:rsidRPr="00145841">
        <w:rPr>
          <w:sz w:val="24"/>
          <w:szCs w:val="24"/>
        </w:rPr>
        <w:t>Le principal intérêt de ce document réside dans la compilation de rapport nationaux et de rapports de recherche sur la thématique de l’accès et du maintien dans l’emploi. L’objectif de ce rapport n’est pas seulement de compiler ces informations, mais également de mettre en évidence les barrières et facilitateur dans l’accès à l’emploi des personnes handicapées. Ce document sera particulière</w:t>
      </w:r>
      <w:r w:rsidR="00B359A3">
        <w:rPr>
          <w:sz w:val="24"/>
          <w:szCs w:val="24"/>
        </w:rPr>
        <w:t>ment</w:t>
      </w:r>
      <w:r w:rsidRPr="00145841">
        <w:rPr>
          <w:sz w:val="24"/>
          <w:szCs w:val="24"/>
        </w:rPr>
        <w:t xml:space="preserve"> utile et inspirant pour les organisations et les porteurs de projets.</w:t>
      </w:r>
    </w:p>
    <w:p w:rsidR="00183DD5" w:rsidRDefault="00183DD5" w:rsidP="005E6002">
      <w:pPr>
        <w:rPr>
          <w:sz w:val="24"/>
        </w:rPr>
      </w:pPr>
      <w:r>
        <w:rPr>
          <w:sz w:val="24"/>
        </w:rPr>
        <w:br w:type="page"/>
      </w:r>
    </w:p>
    <w:p w:rsidR="006A39CF" w:rsidRDefault="005E6002" w:rsidP="00841FE5">
      <w:pPr>
        <w:pStyle w:val="Titre2"/>
      </w:pPr>
      <w:bookmarkStart w:id="25" w:name="_Toc433121286"/>
      <w:r w:rsidRPr="005E6002">
        <w:lastRenderedPageBreak/>
        <w:t>Ressource</w:t>
      </w:r>
      <w:r w:rsidR="006A39CF">
        <w:t>(</w:t>
      </w:r>
      <w:r w:rsidRPr="005E6002">
        <w:t>s</w:t>
      </w:r>
      <w:r w:rsidR="006A39CF">
        <w:t>)</w:t>
      </w:r>
      <w:r w:rsidRPr="005E6002">
        <w:t xml:space="preserve"> complémentaire</w:t>
      </w:r>
      <w:r w:rsidR="006A39CF">
        <w:t>(</w:t>
      </w:r>
      <w:r w:rsidRPr="005E6002">
        <w:t>s</w:t>
      </w:r>
      <w:r w:rsidR="00B20802">
        <w:t>) sur la même thématique</w:t>
      </w:r>
      <w:bookmarkEnd w:id="25"/>
    </w:p>
    <w:p w:rsidR="006A39CF" w:rsidRDefault="006A39CF" w:rsidP="006A39CF">
      <w:pPr>
        <w:rPr>
          <w:sz w:val="24"/>
        </w:rPr>
      </w:pPr>
    </w:p>
    <w:p w:rsidR="006A39CF" w:rsidRPr="006A39CF" w:rsidRDefault="006A39CF" w:rsidP="006A39CF">
      <w:pPr>
        <w:pStyle w:val="Paragraphedeliste"/>
        <w:numPr>
          <w:ilvl w:val="0"/>
          <w:numId w:val="29"/>
        </w:numPr>
        <w:rPr>
          <w:rFonts w:ascii="Calibri" w:eastAsia="Times New Roman" w:hAnsi="Calibri" w:cs="Arial"/>
          <w:b/>
          <w:sz w:val="24"/>
          <w:szCs w:val="24"/>
          <w:lang w:val="en-US" w:eastAsia="fr-FR"/>
        </w:rPr>
      </w:pPr>
      <w:r w:rsidRPr="006A39CF">
        <w:rPr>
          <w:rFonts w:ascii="Calibri" w:eastAsia="Times New Roman" w:hAnsi="Calibri" w:cs="Arial"/>
          <w:b/>
          <w:sz w:val="24"/>
          <w:szCs w:val="24"/>
          <w:lang w:val="en-US" w:eastAsia="fr-FR"/>
        </w:rPr>
        <w:t xml:space="preserve">European Commission. Results of four pilot projects on employment of persons with autism. 2014 </w:t>
      </w:r>
    </w:p>
    <w:p w:rsidR="006A39CF" w:rsidRPr="00B3767E" w:rsidRDefault="00841FE5" w:rsidP="006A39CF">
      <w:pPr>
        <w:pStyle w:val="Paragraphedeliste"/>
        <w:ind w:left="0"/>
        <w:rPr>
          <w:rFonts w:ascii="Calibri" w:hAnsi="Calibri" w:cs="Verdana"/>
          <w:sz w:val="24"/>
          <w:szCs w:val="24"/>
        </w:rPr>
      </w:pPr>
      <w:r>
        <w:rPr>
          <w:rFonts w:ascii="Calibri" w:hAnsi="Calibri" w:cs="Verdana"/>
          <w:sz w:val="24"/>
          <w:szCs w:val="24"/>
        </w:rPr>
        <w:t>C</w:t>
      </w:r>
      <w:r w:rsidR="006A39CF" w:rsidRPr="00B3767E">
        <w:rPr>
          <w:rFonts w:ascii="Calibri" w:hAnsi="Calibri" w:cs="Verdana"/>
          <w:sz w:val="24"/>
          <w:szCs w:val="24"/>
        </w:rPr>
        <w:t>e document présente les résultats d’un projet mené par la Commission Européen</w:t>
      </w:r>
      <w:r>
        <w:rPr>
          <w:rFonts w:ascii="Calibri" w:hAnsi="Calibri" w:cs="Verdana"/>
          <w:sz w:val="24"/>
          <w:szCs w:val="24"/>
        </w:rPr>
        <w:t xml:space="preserve">ne dans cinq pays européens. L’objectif </w:t>
      </w:r>
      <w:r w:rsidR="006A39CF" w:rsidRPr="00B3767E">
        <w:rPr>
          <w:rFonts w:ascii="Calibri" w:hAnsi="Calibri" w:cs="Verdana"/>
          <w:sz w:val="24"/>
          <w:szCs w:val="24"/>
        </w:rPr>
        <w:t xml:space="preserve">du projet était d’améliorer la situation du travail des personnes </w:t>
      </w:r>
      <w:r w:rsidR="00C12662">
        <w:rPr>
          <w:rFonts w:ascii="Calibri" w:hAnsi="Calibri" w:cs="Verdana"/>
          <w:sz w:val="24"/>
          <w:szCs w:val="24"/>
        </w:rPr>
        <w:t>avec autisme</w:t>
      </w:r>
      <w:r w:rsidR="006A39CF" w:rsidRPr="00B3767E">
        <w:rPr>
          <w:rFonts w:ascii="Calibri" w:hAnsi="Calibri" w:cs="Verdana"/>
          <w:sz w:val="24"/>
          <w:szCs w:val="24"/>
        </w:rPr>
        <w:t xml:space="preserve">. Le projet a été mené en Bulgarie, en Allemagne, au Danemark et Pologne et l’Italie. </w:t>
      </w:r>
    </w:p>
    <w:p w:rsidR="006A39CF" w:rsidRPr="00795522" w:rsidRDefault="006A39CF" w:rsidP="006A39CF">
      <w:pPr>
        <w:rPr>
          <w:rFonts w:ascii="Calibri" w:eastAsia="Times New Roman" w:hAnsi="Calibri" w:cs="Arial"/>
          <w:b/>
          <w:sz w:val="24"/>
          <w:szCs w:val="24"/>
          <w:lang w:eastAsia="fr-FR"/>
        </w:rPr>
      </w:pPr>
    </w:p>
    <w:p w:rsidR="006A39CF" w:rsidRPr="006A39CF" w:rsidRDefault="006A39CF" w:rsidP="006A39CF">
      <w:pPr>
        <w:pStyle w:val="Paragraphedeliste"/>
        <w:numPr>
          <w:ilvl w:val="0"/>
          <w:numId w:val="29"/>
        </w:numPr>
        <w:rPr>
          <w:rFonts w:ascii="Calibri" w:hAnsi="Calibri" w:cs="ECSquareSansPro"/>
          <w:b/>
          <w:color w:val="000000"/>
          <w:sz w:val="24"/>
          <w:szCs w:val="24"/>
          <w:lang w:val="en-US"/>
        </w:rPr>
      </w:pPr>
      <w:proofErr w:type="spellStart"/>
      <w:r w:rsidRPr="006A39CF">
        <w:rPr>
          <w:rFonts w:ascii="Calibri" w:hAnsi="Calibri" w:cs="ECSquareSansProMedium"/>
          <w:b/>
          <w:color w:val="000000"/>
          <w:sz w:val="24"/>
          <w:szCs w:val="24"/>
          <w:lang w:val="en-US"/>
        </w:rPr>
        <w:t>Mc</w:t>
      </w:r>
      <w:proofErr w:type="spellEnd"/>
      <w:r w:rsidRPr="006A39CF">
        <w:rPr>
          <w:rFonts w:ascii="Calibri" w:hAnsi="Calibri" w:cs="ECSquareSansProMedium"/>
          <w:b/>
          <w:color w:val="000000"/>
          <w:sz w:val="24"/>
          <w:szCs w:val="24"/>
          <w:lang w:val="en-US"/>
        </w:rPr>
        <w:t xml:space="preserve"> </w:t>
      </w:r>
      <w:proofErr w:type="spellStart"/>
      <w:r w:rsidRPr="006A39CF">
        <w:rPr>
          <w:rFonts w:ascii="Calibri" w:hAnsi="Calibri" w:cs="ECSquareSansProMedium"/>
          <w:b/>
          <w:color w:val="000000"/>
          <w:sz w:val="24"/>
          <w:szCs w:val="24"/>
          <w:lang w:val="en-US"/>
        </w:rPr>
        <w:t>Colgan</w:t>
      </w:r>
      <w:proofErr w:type="spellEnd"/>
      <w:r w:rsidRPr="006A39CF">
        <w:rPr>
          <w:rFonts w:ascii="Calibri" w:hAnsi="Calibri" w:cs="ECSquareSansProMedium"/>
          <w:b/>
          <w:color w:val="000000"/>
          <w:sz w:val="24"/>
          <w:szCs w:val="24"/>
          <w:lang w:val="en-US"/>
        </w:rPr>
        <w:t xml:space="preserve"> A., National protection beyond the two EU</w:t>
      </w:r>
      <w:r>
        <w:rPr>
          <w:rFonts w:ascii="Calibri" w:hAnsi="Calibri" w:cs="ECSquareSansProMedium"/>
          <w:b/>
          <w:color w:val="000000"/>
          <w:sz w:val="24"/>
          <w:szCs w:val="24"/>
          <w:lang w:val="en-US"/>
        </w:rPr>
        <w:t xml:space="preserve"> Anti-discrimination Directives</w:t>
      </w:r>
      <w:r w:rsidRPr="006A39CF">
        <w:rPr>
          <w:rFonts w:ascii="Calibri" w:hAnsi="Calibri" w:cs="ECSquareSansProMedium"/>
          <w:b/>
          <w:color w:val="000000"/>
          <w:sz w:val="24"/>
          <w:szCs w:val="24"/>
          <w:lang w:val="en-US"/>
        </w:rPr>
        <w:t xml:space="preserve">: </w:t>
      </w:r>
      <w:r w:rsidRPr="006A39CF">
        <w:rPr>
          <w:rFonts w:ascii="Calibri" w:hAnsi="Calibri" w:cs="ECSquareSansPro"/>
          <w:b/>
          <w:color w:val="000000"/>
          <w:sz w:val="24"/>
          <w:szCs w:val="24"/>
          <w:lang w:val="en-US"/>
        </w:rPr>
        <w:t>The grounds of religion and belief, disability,</w:t>
      </w:r>
      <w:r w:rsidRPr="006A39CF">
        <w:rPr>
          <w:rFonts w:ascii="Calibri" w:hAnsi="Calibri" w:cs="ECSquareSansProMedium"/>
          <w:b/>
          <w:color w:val="000000"/>
          <w:sz w:val="24"/>
          <w:szCs w:val="24"/>
          <w:lang w:val="en-US"/>
        </w:rPr>
        <w:t xml:space="preserve"> </w:t>
      </w:r>
      <w:r w:rsidRPr="006A39CF">
        <w:rPr>
          <w:rFonts w:ascii="Calibri" w:hAnsi="Calibri" w:cs="ECSquareSansPro"/>
          <w:b/>
          <w:color w:val="000000"/>
          <w:sz w:val="24"/>
          <w:szCs w:val="24"/>
          <w:lang w:val="en-US"/>
        </w:rPr>
        <w:t xml:space="preserve">age and sexual </w:t>
      </w:r>
      <w:r w:rsidR="002E14DD">
        <w:rPr>
          <w:rFonts w:ascii="Calibri" w:hAnsi="Calibri" w:cs="ECSquareSansPro"/>
          <w:b/>
          <w:color w:val="000000"/>
          <w:sz w:val="24"/>
          <w:szCs w:val="24"/>
          <w:lang w:val="en-US"/>
        </w:rPr>
        <w:t>orientation beyond employment.</w:t>
      </w:r>
      <w:r w:rsidRPr="006A39CF">
        <w:rPr>
          <w:rFonts w:ascii="Calibri" w:hAnsi="Calibri" w:cs="ECSquareSansPro"/>
          <w:b/>
          <w:color w:val="000000"/>
          <w:sz w:val="24"/>
          <w:szCs w:val="24"/>
          <w:lang w:val="en-US"/>
        </w:rPr>
        <w:t xml:space="preserve"> 2013</w:t>
      </w:r>
    </w:p>
    <w:p w:rsidR="006A39CF" w:rsidRPr="00B3767E" w:rsidRDefault="006A39CF" w:rsidP="006A39CF">
      <w:pPr>
        <w:autoSpaceDE w:val="0"/>
        <w:autoSpaceDN w:val="0"/>
        <w:adjustRightInd w:val="0"/>
        <w:rPr>
          <w:rFonts w:ascii="Calibri" w:hAnsi="Calibri" w:cs="ECSquareSansPro"/>
          <w:color w:val="000000"/>
          <w:sz w:val="24"/>
          <w:szCs w:val="24"/>
        </w:rPr>
      </w:pPr>
      <w:r w:rsidRPr="00B3767E">
        <w:rPr>
          <w:rFonts w:ascii="Calibri" w:hAnsi="Calibri" w:cs="ECSquareSansPro"/>
          <w:color w:val="000000"/>
          <w:sz w:val="24"/>
          <w:szCs w:val="24"/>
        </w:rPr>
        <w:t>L</w:t>
      </w:r>
      <w:r>
        <w:rPr>
          <w:rFonts w:ascii="Calibri" w:hAnsi="Calibri" w:cs="ECSquareSansPro"/>
          <w:color w:val="000000"/>
          <w:sz w:val="24"/>
          <w:szCs w:val="24"/>
        </w:rPr>
        <w:t xml:space="preserve">’objectif </w:t>
      </w:r>
      <w:r w:rsidRPr="00B3767E">
        <w:rPr>
          <w:rFonts w:ascii="Calibri" w:hAnsi="Calibri" w:cs="ECSquareSansPro"/>
          <w:color w:val="000000"/>
          <w:sz w:val="24"/>
          <w:szCs w:val="24"/>
        </w:rPr>
        <w:t xml:space="preserve">de ce rapport est de mettre à jour l’étude de cartographie sur la régulation de la discrimination en dehors du contexte de l’emploi </w:t>
      </w:r>
      <w:r w:rsidR="00841FE5">
        <w:rPr>
          <w:rFonts w:ascii="Calibri" w:hAnsi="Calibri" w:cs="ECSquareSansPro"/>
          <w:color w:val="000000"/>
          <w:sz w:val="24"/>
          <w:szCs w:val="24"/>
        </w:rPr>
        <w:t>sur</w:t>
      </w:r>
      <w:r w:rsidRPr="00B3767E">
        <w:rPr>
          <w:rFonts w:ascii="Calibri" w:hAnsi="Calibri" w:cs="ECSquareSansPro"/>
          <w:color w:val="000000"/>
          <w:sz w:val="24"/>
          <w:szCs w:val="24"/>
        </w:rPr>
        <w:t xml:space="preserve"> la base de l’âge, </w:t>
      </w:r>
      <w:r w:rsidR="00841FE5">
        <w:rPr>
          <w:rFonts w:ascii="Calibri" w:hAnsi="Calibri" w:cs="ECSquareSansPro"/>
          <w:color w:val="000000"/>
          <w:sz w:val="24"/>
          <w:szCs w:val="24"/>
        </w:rPr>
        <w:t xml:space="preserve">des incapacités, de </w:t>
      </w:r>
      <w:r w:rsidRPr="00B3767E">
        <w:rPr>
          <w:rFonts w:ascii="Calibri" w:hAnsi="Calibri" w:cs="ECSquareSansPro"/>
          <w:color w:val="000000"/>
          <w:sz w:val="24"/>
          <w:szCs w:val="24"/>
        </w:rPr>
        <w:t xml:space="preserve">la religion, </w:t>
      </w:r>
      <w:r w:rsidR="00841FE5">
        <w:rPr>
          <w:rFonts w:ascii="Calibri" w:hAnsi="Calibri" w:cs="ECSquareSansPro"/>
          <w:color w:val="000000"/>
          <w:sz w:val="24"/>
          <w:szCs w:val="24"/>
        </w:rPr>
        <w:t xml:space="preserve">et de </w:t>
      </w:r>
      <w:r w:rsidRPr="00B3767E">
        <w:rPr>
          <w:rFonts w:ascii="Calibri" w:hAnsi="Calibri" w:cs="ECSquareSansPro"/>
          <w:color w:val="000000"/>
          <w:sz w:val="24"/>
          <w:szCs w:val="24"/>
        </w:rPr>
        <w:t>l’</w:t>
      </w:r>
      <w:r w:rsidRPr="00D54DB1">
        <w:rPr>
          <w:rFonts w:ascii="Calibri" w:hAnsi="Calibri" w:cs="ECSquareSansPro"/>
          <w:color w:val="000000"/>
          <w:sz w:val="24"/>
          <w:szCs w:val="24"/>
        </w:rPr>
        <w:t>orientation</w:t>
      </w:r>
      <w:r w:rsidRPr="00B3767E">
        <w:rPr>
          <w:rFonts w:ascii="Calibri" w:hAnsi="Calibri" w:cs="ECSquareSansPro"/>
          <w:color w:val="000000"/>
          <w:sz w:val="24"/>
          <w:szCs w:val="24"/>
        </w:rPr>
        <w:t xml:space="preserve"> sexuelle faite en 2006. Cette analyse est basée </w:t>
      </w:r>
      <w:r w:rsidR="00841FE5">
        <w:rPr>
          <w:rFonts w:ascii="Calibri" w:hAnsi="Calibri" w:cs="ECSquareSansPro"/>
          <w:color w:val="000000"/>
          <w:sz w:val="24"/>
          <w:szCs w:val="24"/>
        </w:rPr>
        <w:t>sur</w:t>
      </w:r>
      <w:r w:rsidRPr="00B3767E">
        <w:rPr>
          <w:rFonts w:ascii="Calibri" w:hAnsi="Calibri" w:cs="ECSquareSansPro"/>
          <w:color w:val="000000"/>
          <w:sz w:val="24"/>
          <w:szCs w:val="24"/>
        </w:rPr>
        <w:t xml:space="preserve"> l’information fournie </w:t>
      </w:r>
      <w:r w:rsidR="00841FE5">
        <w:rPr>
          <w:rFonts w:ascii="Calibri" w:hAnsi="Calibri" w:cs="ECSquareSansPro"/>
          <w:color w:val="000000"/>
          <w:sz w:val="24"/>
          <w:szCs w:val="24"/>
        </w:rPr>
        <w:t>par les rapports internationaux.</w:t>
      </w:r>
    </w:p>
    <w:p w:rsidR="006A39CF" w:rsidRPr="00795522" w:rsidRDefault="006A39CF" w:rsidP="006A39CF">
      <w:pPr>
        <w:rPr>
          <w:rFonts w:ascii="Calibri" w:eastAsia="Times New Roman" w:hAnsi="Calibri" w:cs="Arial"/>
          <w:b/>
          <w:sz w:val="24"/>
          <w:szCs w:val="24"/>
          <w:lang w:eastAsia="fr-FR"/>
        </w:rPr>
      </w:pPr>
    </w:p>
    <w:p w:rsidR="00F601CE" w:rsidRPr="005E6002" w:rsidRDefault="005E6002" w:rsidP="006A39CF">
      <w:pPr>
        <w:rPr>
          <w:sz w:val="24"/>
        </w:rPr>
      </w:pPr>
      <w:r w:rsidRPr="005E6002">
        <w:rPr>
          <w:sz w:val="24"/>
        </w:rPr>
        <w:t xml:space="preserve"> </w:t>
      </w:r>
      <w:r w:rsidR="00F601CE" w:rsidRPr="005E6002">
        <w:rPr>
          <w:sz w:val="24"/>
        </w:rPr>
        <w:br w:type="page"/>
      </w:r>
    </w:p>
    <w:p w:rsidR="00F601CE" w:rsidRPr="00F601CE" w:rsidRDefault="00567744" w:rsidP="00356F83">
      <w:pPr>
        <w:pStyle w:val="Titre1"/>
      </w:pPr>
      <w:bookmarkStart w:id="26" w:name="_Toc433121287"/>
      <w:r>
        <w:lastRenderedPageBreak/>
        <w:t>Autres thématique</w:t>
      </w:r>
      <w:r w:rsidR="001346E5">
        <w:t>s</w:t>
      </w:r>
      <w:bookmarkEnd w:id="26"/>
    </w:p>
    <w:p w:rsidR="0039236F" w:rsidRPr="00F601CE" w:rsidRDefault="0039236F" w:rsidP="00F601CE">
      <w:pPr>
        <w:rPr>
          <w:sz w:val="24"/>
          <w:szCs w:val="24"/>
        </w:rPr>
      </w:pPr>
    </w:p>
    <w:p w:rsidR="00F601CE" w:rsidRDefault="00F601CE" w:rsidP="00F601CE">
      <w:pPr>
        <w:rPr>
          <w:sz w:val="24"/>
          <w:szCs w:val="24"/>
        </w:rPr>
      </w:pPr>
      <w:r w:rsidRPr="00F601CE">
        <w:rPr>
          <w:sz w:val="24"/>
          <w:szCs w:val="24"/>
        </w:rPr>
        <w:t xml:space="preserve">Cette bibliographie </w:t>
      </w:r>
      <w:r>
        <w:rPr>
          <w:sz w:val="24"/>
          <w:szCs w:val="24"/>
        </w:rPr>
        <w:t xml:space="preserve">générale </w:t>
      </w:r>
      <w:r w:rsidR="007E4B3C">
        <w:rPr>
          <w:sz w:val="24"/>
          <w:szCs w:val="24"/>
        </w:rPr>
        <w:t>regroupe</w:t>
      </w:r>
      <w:r w:rsidRPr="00F601CE">
        <w:rPr>
          <w:sz w:val="24"/>
          <w:szCs w:val="24"/>
        </w:rPr>
        <w:t xml:space="preserve"> l’ensemble</w:t>
      </w:r>
      <w:r>
        <w:rPr>
          <w:sz w:val="24"/>
          <w:szCs w:val="24"/>
        </w:rPr>
        <w:t xml:space="preserve"> des documents identifiés au regard des critères définis pour la réalis</w:t>
      </w:r>
      <w:r w:rsidR="00E64B42">
        <w:rPr>
          <w:sz w:val="24"/>
          <w:szCs w:val="24"/>
        </w:rPr>
        <w:t>ation de ce travail (voir page 4</w:t>
      </w:r>
      <w:r>
        <w:rPr>
          <w:sz w:val="24"/>
          <w:szCs w:val="24"/>
        </w:rPr>
        <w:t>).</w:t>
      </w:r>
      <w:r w:rsidR="007E4B3C">
        <w:rPr>
          <w:sz w:val="24"/>
          <w:szCs w:val="24"/>
        </w:rPr>
        <w:t xml:space="preserve"> Elle est organisée en plusieurs thématiques.</w:t>
      </w:r>
    </w:p>
    <w:p w:rsidR="00F601CE" w:rsidRDefault="00F601CE" w:rsidP="00F601CE">
      <w:pPr>
        <w:rPr>
          <w:sz w:val="24"/>
          <w:szCs w:val="24"/>
        </w:rPr>
      </w:pPr>
    </w:p>
    <w:p w:rsidR="007E4B3C" w:rsidRDefault="00F601CE" w:rsidP="00F601CE">
      <w:pPr>
        <w:rPr>
          <w:sz w:val="24"/>
          <w:szCs w:val="24"/>
        </w:rPr>
      </w:pPr>
      <w:r>
        <w:rPr>
          <w:sz w:val="24"/>
          <w:szCs w:val="24"/>
        </w:rPr>
        <w:t>Le titre de chaque référence contient un lien permettant d’accéder au document en ligne.</w:t>
      </w:r>
      <w:r w:rsidR="00E64B42">
        <w:rPr>
          <w:sz w:val="24"/>
          <w:szCs w:val="24"/>
        </w:rPr>
        <w:t xml:space="preserve"> Pour les documents ayant fait l’objet d’une fiche de lecture, le lien revoie vers sa notice sur la base documentaire du Centre Ressources Recherche Appliquée et Handicap.</w:t>
      </w:r>
    </w:p>
    <w:p w:rsidR="00F54C84" w:rsidRDefault="00F54C84" w:rsidP="00F54C84">
      <w:pPr>
        <w:rPr>
          <w:sz w:val="24"/>
          <w:szCs w:val="24"/>
        </w:rPr>
      </w:pPr>
    </w:p>
    <w:p w:rsidR="00286B85" w:rsidRDefault="00286B85" w:rsidP="00286B85">
      <w:pPr>
        <w:pStyle w:val="Titre2"/>
      </w:pPr>
      <w:bookmarkStart w:id="27" w:name="_Toc433121288"/>
      <w:r>
        <w:t>Accès à la culture</w:t>
      </w:r>
      <w:bookmarkEnd w:id="27"/>
    </w:p>
    <w:p w:rsidR="00286B85" w:rsidRDefault="00286B85" w:rsidP="00286B85">
      <w:pPr>
        <w:rPr>
          <w:sz w:val="24"/>
          <w:szCs w:val="24"/>
        </w:rPr>
      </w:pPr>
    </w:p>
    <w:p w:rsidR="00286B85" w:rsidRPr="00F54C84" w:rsidRDefault="00286B85" w:rsidP="00286B85">
      <w:pPr>
        <w:pStyle w:val="Paragraphedeliste"/>
        <w:numPr>
          <w:ilvl w:val="0"/>
          <w:numId w:val="27"/>
        </w:numPr>
        <w:rPr>
          <w:sz w:val="24"/>
          <w:szCs w:val="24"/>
        </w:rPr>
      </w:pPr>
      <w:r w:rsidRPr="00F54C84">
        <w:rPr>
          <w:sz w:val="24"/>
          <w:szCs w:val="24"/>
        </w:rPr>
        <w:t xml:space="preserve">Pôle européen de l’accessibilité culturelle. </w:t>
      </w:r>
      <w:hyperlink r:id="rId25" w:tooltip="Accès à Discrimination des personnes en situation de handicap, âgées ou en perte d'autonomie dans l'accès à la culture, page web, nouvelle fenêtre" w:history="1">
        <w:r w:rsidRPr="00F54C84">
          <w:rPr>
            <w:rStyle w:val="Lienhypertexte"/>
            <w:sz w:val="24"/>
            <w:szCs w:val="24"/>
          </w:rPr>
          <w:t>Discrimination des personnes en situation de handicap, âgées ou en perte d’autonomie dans l’accès à la culture</w:t>
        </w:r>
      </w:hyperlink>
      <w:r w:rsidRPr="00F54C84">
        <w:rPr>
          <w:sz w:val="24"/>
          <w:szCs w:val="24"/>
        </w:rPr>
        <w:t>. PEAC. 2012. 18 pages</w:t>
      </w:r>
    </w:p>
    <w:p w:rsidR="00286B85" w:rsidRDefault="00286B85" w:rsidP="00286B85">
      <w:pPr>
        <w:rPr>
          <w:sz w:val="24"/>
          <w:szCs w:val="24"/>
        </w:rPr>
      </w:pPr>
      <w:r>
        <w:rPr>
          <w:sz w:val="24"/>
          <w:szCs w:val="24"/>
        </w:rPr>
        <w:t>Cette étude présente les différentes difficultés d’accès à la culture des personnes handicapées âgées en perte d’autonomie. Elle comprend des préconisations d’action aux niveaux français et européen.</w:t>
      </w:r>
    </w:p>
    <w:p w:rsidR="00286B85" w:rsidRDefault="00286B85" w:rsidP="00F54C84">
      <w:pPr>
        <w:rPr>
          <w:sz w:val="24"/>
          <w:szCs w:val="24"/>
        </w:rPr>
      </w:pPr>
    </w:p>
    <w:p w:rsidR="00286B85" w:rsidRPr="00F54C84" w:rsidRDefault="00286B85" w:rsidP="00286B85">
      <w:pPr>
        <w:pStyle w:val="Titre2"/>
      </w:pPr>
      <w:bookmarkStart w:id="28" w:name="_Toc433121289"/>
      <w:r w:rsidRPr="00F54C84">
        <w:t>Accessibilité</w:t>
      </w:r>
      <w:bookmarkEnd w:id="28"/>
      <w:r w:rsidRPr="00F54C84">
        <w:t xml:space="preserve"> </w:t>
      </w:r>
    </w:p>
    <w:p w:rsidR="00286B85" w:rsidRDefault="00286B85" w:rsidP="00286B85">
      <w:pPr>
        <w:rPr>
          <w:sz w:val="24"/>
          <w:szCs w:val="24"/>
          <w:lang w:val="en-US"/>
        </w:rPr>
      </w:pPr>
    </w:p>
    <w:p w:rsidR="00286B85" w:rsidRPr="00992C6A" w:rsidRDefault="00286B85" w:rsidP="00992C6A">
      <w:pPr>
        <w:pStyle w:val="Paragraphedeliste"/>
        <w:numPr>
          <w:ilvl w:val="0"/>
          <w:numId w:val="33"/>
        </w:numPr>
        <w:rPr>
          <w:sz w:val="24"/>
          <w:szCs w:val="24"/>
          <w:lang w:val="en-US"/>
        </w:rPr>
      </w:pPr>
      <w:proofErr w:type="spellStart"/>
      <w:r w:rsidRPr="0017641F">
        <w:rPr>
          <w:sz w:val="24"/>
          <w:szCs w:val="24"/>
        </w:rPr>
        <w:t>Fembek</w:t>
      </w:r>
      <w:proofErr w:type="spellEnd"/>
      <w:r w:rsidRPr="0017641F">
        <w:rPr>
          <w:sz w:val="24"/>
          <w:szCs w:val="24"/>
        </w:rPr>
        <w:t xml:space="preserve"> M., </w:t>
      </w:r>
      <w:proofErr w:type="spellStart"/>
      <w:r w:rsidRPr="0017641F">
        <w:rPr>
          <w:sz w:val="24"/>
          <w:szCs w:val="24"/>
        </w:rPr>
        <w:t>Heindorf</w:t>
      </w:r>
      <w:proofErr w:type="spellEnd"/>
      <w:r w:rsidRPr="0017641F">
        <w:rPr>
          <w:sz w:val="24"/>
          <w:szCs w:val="24"/>
        </w:rPr>
        <w:t xml:space="preserve"> I., Arroyo de </w:t>
      </w:r>
      <w:proofErr w:type="spellStart"/>
      <w:r w:rsidRPr="0017641F">
        <w:rPr>
          <w:sz w:val="24"/>
          <w:szCs w:val="24"/>
        </w:rPr>
        <w:t>Sande</w:t>
      </w:r>
      <w:proofErr w:type="spellEnd"/>
      <w:r w:rsidRPr="0017641F">
        <w:rPr>
          <w:sz w:val="24"/>
          <w:szCs w:val="24"/>
        </w:rPr>
        <w:t xml:space="preserve"> C., Balmas S., </w:t>
      </w:r>
      <w:proofErr w:type="spellStart"/>
      <w:r w:rsidRPr="0017641F">
        <w:rPr>
          <w:sz w:val="24"/>
          <w:szCs w:val="24"/>
        </w:rPr>
        <w:t>Saupe</w:t>
      </w:r>
      <w:proofErr w:type="spellEnd"/>
      <w:r w:rsidRPr="0017641F">
        <w:rPr>
          <w:sz w:val="24"/>
          <w:szCs w:val="24"/>
        </w:rPr>
        <w:t xml:space="preserve"> A., </w:t>
      </w:r>
      <w:proofErr w:type="spellStart"/>
      <w:r w:rsidRPr="0017641F">
        <w:rPr>
          <w:sz w:val="24"/>
          <w:szCs w:val="24"/>
        </w:rPr>
        <w:t>Leblois</w:t>
      </w:r>
      <w:proofErr w:type="spellEnd"/>
      <w:r w:rsidRPr="0017641F">
        <w:rPr>
          <w:sz w:val="24"/>
          <w:szCs w:val="24"/>
        </w:rPr>
        <w:t xml:space="preserve"> A. </w:t>
      </w:r>
      <w:hyperlink r:id="rId26" w:tooltip="Rapport Zero project 2014 : Accessibility, nouvelle fenêtre" w:history="1">
        <w:r w:rsidRPr="00992C6A">
          <w:rPr>
            <w:rStyle w:val="Lienhypertexte"/>
            <w:sz w:val="24"/>
            <w:szCs w:val="24"/>
            <w:lang w:val="en-US"/>
          </w:rPr>
          <w:t>International study on the implementation of the UN Convention on the Rights of People with Disabilities: Accessibility</w:t>
        </w:r>
      </w:hyperlink>
      <w:r w:rsidRPr="00992C6A">
        <w:rPr>
          <w:sz w:val="24"/>
          <w:szCs w:val="24"/>
          <w:lang w:val="en-US"/>
        </w:rPr>
        <w:t>. Zero Project Report. 2014. 83p</w:t>
      </w:r>
    </w:p>
    <w:p w:rsidR="00992C6A" w:rsidRPr="00992C6A" w:rsidRDefault="00992C6A" w:rsidP="00286B85">
      <w:pPr>
        <w:rPr>
          <w:sz w:val="24"/>
          <w:szCs w:val="24"/>
        </w:rPr>
      </w:pPr>
      <w:r>
        <w:rPr>
          <w:sz w:val="24"/>
          <w:szCs w:val="24"/>
        </w:rPr>
        <w:t xml:space="preserve">Le rapport </w:t>
      </w:r>
      <w:proofErr w:type="spellStart"/>
      <w:r>
        <w:rPr>
          <w:sz w:val="24"/>
          <w:szCs w:val="24"/>
        </w:rPr>
        <w:t>Zero</w:t>
      </w:r>
      <w:proofErr w:type="spellEnd"/>
      <w:r>
        <w:rPr>
          <w:sz w:val="24"/>
          <w:szCs w:val="24"/>
        </w:rPr>
        <w:t xml:space="preserve"> P</w:t>
      </w:r>
      <w:r w:rsidRPr="00992C6A">
        <w:rPr>
          <w:sz w:val="24"/>
          <w:szCs w:val="24"/>
        </w:rPr>
        <w:t xml:space="preserve">roject est </w:t>
      </w:r>
      <w:r>
        <w:rPr>
          <w:sz w:val="24"/>
          <w:szCs w:val="24"/>
        </w:rPr>
        <w:t>une étude internationale concernant la mise en œuvre des dispositions de la Convention Internationale relative aux Droits des Personnes Handicapées. Il est réalisé chaque année autour d’une thématique particulière, ici l’accessibilité, et rassemble des fiches concernant les pratiques innovantes dans ce domaine.</w:t>
      </w:r>
    </w:p>
    <w:p w:rsidR="00286B85" w:rsidRPr="00992C6A" w:rsidRDefault="00286B85" w:rsidP="00286B85">
      <w:pPr>
        <w:rPr>
          <w:sz w:val="24"/>
          <w:szCs w:val="24"/>
        </w:rPr>
      </w:pPr>
    </w:p>
    <w:p w:rsidR="00286B85" w:rsidRPr="00F54C84" w:rsidRDefault="00286B85" w:rsidP="00286B85">
      <w:pPr>
        <w:pStyle w:val="Paragraphedeliste"/>
        <w:numPr>
          <w:ilvl w:val="0"/>
          <w:numId w:val="27"/>
        </w:numPr>
        <w:rPr>
          <w:sz w:val="24"/>
          <w:szCs w:val="24"/>
        </w:rPr>
      </w:pPr>
      <w:proofErr w:type="spellStart"/>
      <w:r w:rsidRPr="00F54C84">
        <w:rPr>
          <w:sz w:val="24"/>
          <w:szCs w:val="24"/>
          <w:lang w:val="en-US"/>
        </w:rPr>
        <w:t>Kubitschke</w:t>
      </w:r>
      <w:proofErr w:type="spellEnd"/>
      <w:r w:rsidRPr="00F54C84">
        <w:rPr>
          <w:sz w:val="24"/>
          <w:szCs w:val="24"/>
          <w:lang w:val="en-US"/>
        </w:rPr>
        <w:t xml:space="preserve"> L., Cullen K., </w:t>
      </w:r>
      <w:proofErr w:type="spellStart"/>
      <w:r w:rsidRPr="00F54C84">
        <w:rPr>
          <w:sz w:val="24"/>
          <w:szCs w:val="24"/>
          <w:lang w:val="en-US"/>
        </w:rPr>
        <w:t>Dolphi</w:t>
      </w:r>
      <w:proofErr w:type="spellEnd"/>
      <w:r w:rsidRPr="00F54C84">
        <w:rPr>
          <w:sz w:val="24"/>
          <w:szCs w:val="24"/>
          <w:lang w:val="en-US"/>
        </w:rPr>
        <w:t xml:space="preserve"> C., </w:t>
      </w:r>
      <w:proofErr w:type="spellStart"/>
      <w:r w:rsidRPr="00F54C84">
        <w:rPr>
          <w:sz w:val="24"/>
          <w:szCs w:val="24"/>
          <w:lang w:val="en-US"/>
        </w:rPr>
        <w:t>Laurin</w:t>
      </w:r>
      <w:proofErr w:type="spellEnd"/>
      <w:r w:rsidRPr="00F54C84">
        <w:rPr>
          <w:sz w:val="24"/>
          <w:szCs w:val="24"/>
          <w:lang w:val="en-US"/>
        </w:rPr>
        <w:t xml:space="preserve"> S., </w:t>
      </w:r>
      <w:proofErr w:type="spellStart"/>
      <w:r w:rsidRPr="00F54C84">
        <w:rPr>
          <w:sz w:val="24"/>
          <w:szCs w:val="24"/>
          <w:lang w:val="en-US"/>
        </w:rPr>
        <w:t>Cederbom</w:t>
      </w:r>
      <w:proofErr w:type="spellEnd"/>
      <w:r w:rsidRPr="00F54C84">
        <w:rPr>
          <w:sz w:val="24"/>
          <w:szCs w:val="24"/>
          <w:lang w:val="en-US"/>
        </w:rPr>
        <w:t xml:space="preserve"> A. </w:t>
      </w:r>
      <w:hyperlink r:id="rId27" w:tooltip="Study on assessing and promoting e-accessibility, page web, nouvelle fenêtre" w:history="1">
        <w:r w:rsidRPr="00F54C84">
          <w:rPr>
            <w:rStyle w:val="Lienhypertexte"/>
            <w:sz w:val="24"/>
            <w:szCs w:val="24"/>
            <w:lang w:val="en-US"/>
          </w:rPr>
          <w:t>Study on assessing and promoting e-accessibility</w:t>
        </w:r>
      </w:hyperlink>
      <w:r w:rsidRPr="00F54C84">
        <w:rPr>
          <w:sz w:val="24"/>
          <w:szCs w:val="24"/>
          <w:lang w:val="en-US"/>
        </w:rPr>
        <w:t xml:space="preserve">. </w:t>
      </w:r>
      <w:proofErr w:type="spellStart"/>
      <w:r w:rsidRPr="00F54C84">
        <w:rPr>
          <w:sz w:val="24"/>
          <w:szCs w:val="24"/>
        </w:rPr>
        <w:t>European</w:t>
      </w:r>
      <w:proofErr w:type="spellEnd"/>
      <w:r w:rsidRPr="00F54C84">
        <w:rPr>
          <w:sz w:val="24"/>
          <w:szCs w:val="24"/>
        </w:rPr>
        <w:t xml:space="preserve"> Union. 2013. 220p</w:t>
      </w:r>
    </w:p>
    <w:p w:rsidR="00286B85" w:rsidRDefault="00286B85" w:rsidP="00286B85">
      <w:pPr>
        <w:rPr>
          <w:sz w:val="24"/>
          <w:szCs w:val="24"/>
        </w:rPr>
      </w:pPr>
      <w:r w:rsidRPr="00BF2002">
        <w:rPr>
          <w:sz w:val="24"/>
          <w:szCs w:val="24"/>
        </w:rPr>
        <w:t xml:space="preserve">Ce rapport présente les résultats et conclusions d’une étude concernant </w:t>
      </w:r>
      <w:r>
        <w:rPr>
          <w:sz w:val="24"/>
          <w:szCs w:val="24"/>
        </w:rPr>
        <w:t>l’évaluation et l’amélioration de l’e-accessibilité. Les principaux objectifs sont de procéder à un état des lieux de l’accessibilité numérique et des mesures mises en place dans l’Europe des 27. Trois domaines principaux sont traités : le web, la télévision et les télécoms.</w:t>
      </w:r>
    </w:p>
    <w:p w:rsidR="00286B85" w:rsidRDefault="002E14DD" w:rsidP="00F54C84">
      <w:pPr>
        <w:rPr>
          <w:sz w:val="24"/>
          <w:szCs w:val="24"/>
        </w:rPr>
      </w:pPr>
      <w:r>
        <w:rPr>
          <w:sz w:val="24"/>
          <w:szCs w:val="24"/>
        </w:rPr>
        <w:br w:type="page"/>
      </w:r>
    </w:p>
    <w:p w:rsidR="00286B85" w:rsidRDefault="00286B85" w:rsidP="00286B85">
      <w:pPr>
        <w:pStyle w:val="Titre2"/>
      </w:pPr>
      <w:bookmarkStart w:id="29" w:name="_Toc433121290"/>
      <w:r>
        <w:lastRenderedPageBreak/>
        <w:t>Aides techniques</w:t>
      </w:r>
      <w:bookmarkEnd w:id="29"/>
    </w:p>
    <w:p w:rsidR="00286B85" w:rsidRDefault="00286B85" w:rsidP="00286B85">
      <w:pPr>
        <w:rPr>
          <w:sz w:val="24"/>
          <w:szCs w:val="24"/>
        </w:rPr>
      </w:pPr>
    </w:p>
    <w:p w:rsidR="00286B85" w:rsidRPr="00F54C84" w:rsidRDefault="00286B85" w:rsidP="00286B85">
      <w:pPr>
        <w:pStyle w:val="Paragraphedeliste"/>
        <w:numPr>
          <w:ilvl w:val="0"/>
          <w:numId w:val="27"/>
        </w:numPr>
        <w:rPr>
          <w:sz w:val="24"/>
          <w:szCs w:val="24"/>
        </w:rPr>
      </w:pPr>
      <w:r w:rsidRPr="00F54C84">
        <w:rPr>
          <w:sz w:val="24"/>
          <w:szCs w:val="24"/>
        </w:rPr>
        <w:t xml:space="preserve">Leygues J., </w:t>
      </w:r>
      <w:proofErr w:type="spellStart"/>
      <w:r w:rsidRPr="00F54C84">
        <w:rPr>
          <w:sz w:val="24"/>
          <w:szCs w:val="24"/>
        </w:rPr>
        <w:t>Bonnin</w:t>
      </w:r>
      <w:proofErr w:type="spellEnd"/>
      <w:r w:rsidRPr="00F54C84">
        <w:rPr>
          <w:sz w:val="24"/>
          <w:szCs w:val="24"/>
        </w:rPr>
        <w:t xml:space="preserve"> V., </w:t>
      </w:r>
      <w:proofErr w:type="spellStart"/>
      <w:r w:rsidRPr="00F54C84">
        <w:rPr>
          <w:sz w:val="24"/>
          <w:szCs w:val="24"/>
        </w:rPr>
        <w:t>Morini</w:t>
      </w:r>
      <w:proofErr w:type="spellEnd"/>
      <w:r w:rsidRPr="00F54C84">
        <w:rPr>
          <w:sz w:val="24"/>
          <w:szCs w:val="24"/>
        </w:rPr>
        <w:t xml:space="preserve"> M., </w:t>
      </w:r>
      <w:proofErr w:type="spellStart"/>
      <w:r w:rsidRPr="00F54C84">
        <w:rPr>
          <w:sz w:val="24"/>
          <w:szCs w:val="24"/>
        </w:rPr>
        <w:t>Letellier</w:t>
      </w:r>
      <w:proofErr w:type="spellEnd"/>
      <w:r w:rsidRPr="00F54C84">
        <w:rPr>
          <w:sz w:val="24"/>
          <w:szCs w:val="24"/>
        </w:rPr>
        <w:t xml:space="preserve"> M. </w:t>
      </w:r>
      <w:hyperlink r:id="rId28" w:tooltip="Accéder à Etude européenne sur le marché et les prix des aides techniques destinées aux personnes handicapées et âgées en perte d'autonomie, page web, nouvelle fenêtre" w:history="1">
        <w:r w:rsidRPr="00F54C84">
          <w:rPr>
            <w:rStyle w:val="Lienhypertexte"/>
            <w:sz w:val="24"/>
            <w:szCs w:val="24"/>
          </w:rPr>
          <w:t>Etude européenne sur le marché et les prix des aides techniques destinées aux personnes handicapées et âgées en perte d’autonomie</w:t>
        </w:r>
      </w:hyperlink>
      <w:r w:rsidRPr="00F54C84">
        <w:rPr>
          <w:sz w:val="24"/>
          <w:szCs w:val="24"/>
        </w:rPr>
        <w:t>. ALCIMED/CNSA. 2009. 73p</w:t>
      </w:r>
    </w:p>
    <w:p w:rsidR="00286B85" w:rsidRPr="00FF07A7" w:rsidRDefault="00286B85" w:rsidP="00286B85">
      <w:pPr>
        <w:rPr>
          <w:sz w:val="24"/>
          <w:szCs w:val="24"/>
        </w:rPr>
      </w:pPr>
      <w:r>
        <w:rPr>
          <w:sz w:val="24"/>
          <w:szCs w:val="24"/>
        </w:rPr>
        <w:t>Ce document est une synthèse transversale concernant 5 pays : le Royaume-Uni, l’Allemagne, la Suède, l’Italie et l’Espagne. L’étude présente plusieurs modèles pour comparer les tendances européennes en termes de circuits, formation des prix et systèmes de prise en charge. Trois types d’aide techniques sont concernés : les prothèses auditives, les aides à la communication pour les personnes déficientes visuelles, et les fauteuils roulants.</w:t>
      </w:r>
    </w:p>
    <w:p w:rsidR="00286B85" w:rsidRDefault="00286B85" w:rsidP="00F54C84">
      <w:pPr>
        <w:rPr>
          <w:sz w:val="24"/>
          <w:szCs w:val="24"/>
        </w:rPr>
      </w:pPr>
    </w:p>
    <w:p w:rsidR="00286B85" w:rsidRPr="002870F5" w:rsidRDefault="00286B85" w:rsidP="00286B85">
      <w:pPr>
        <w:pStyle w:val="Titre2"/>
        <w:rPr>
          <w:lang w:val="en-US"/>
        </w:rPr>
      </w:pPr>
      <w:bookmarkStart w:id="30" w:name="_Toc433121291"/>
      <w:proofErr w:type="spellStart"/>
      <w:r w:rsidRPr="002870F5">
        <w:rPr>
          <w:lang w:val="en-US"/>
        </w:rPr>
        <w:t>Capacité</w:t>
      </w:r>
      <w:proofErr w:type="spellEnd"/>
      <w:r w:rsidRPr="002870F5">
        <w:rPr>
          <w:lang w:val="en-US"/>
        </w:rPr>
        <w:t xml:space="preserve"> </w:t>
      </w:r>
      <w:proofErr w:type="spellStart"/>
      <w:r w:rsidRPr="002870F5">
        <w:rPr>
          <w:lang w:val="en-US"/>
        </w:rPr>
        <w:t>juridique</w:t>
      </w:r>
      <w:bookmarkEnd w:id="30"/>
      <w:proofErr w:type="spellEnd"/>
    </w:p>
    <w:p w:rsidR="00286B85" w:rsidRPr="002870F5" w:rsidRDefault="00286B85" w:rsidP="00286B85">
      <w:pPr>
        <w:rPr>
          <w:sz w:val="24"/>
          <w:szCs w:val="24"/>
          <w:lang w:val="en-US"/>
        </w:rPr>
      </w:pPr>
    </w:p>
    <w:p w:rsidR="00286B85" w:rsidRPr="00F54C84" w:rsidRDefault="00286B85" w:rsidP="00286B85">
      <w:pPr>
        <w:pStyle w:val="Paragraphedeliste"/>
        <w:numPr>
          <w:ilvl w:val="0"/>
          <w:numId w:val="27"/>
        </w:numPr>
        <w:rPr>
          <w:sz w:val="24"/>
          <w:szCs w:val="24"/>
        </w:rPr>
      </w:pPr>
      <w:proofErr w:type="spellStart"/>
      <w:r w:rsidRPr="00F54C84">
        <w:rPr>
          <w:sz w:val="24"/>
          <w:szCs w:val="24"/>
          <w:lang w:val="en-US"/>
        </w:rPr>
        <w:t>AJuPID</w:t>
      </w:r>
      <w:proofErr w:type="spellEnd"/>
      <w:r w:rsidRPr="00F54C84">
        <w:rPr>
          <w:sz w:val="24"/>
          <w:szCs w:val="24"/>
          <w:lang w:val="en-US"/>
        </w:rPr>
        <w:t xml:space="preserve">. </w:t>
      </w:r>
      <w:hyperlink r:id="rId29" w:tooltip="Accès à Comparison of legal systems i access to justice for persons with itellectual disabilities, page web, nouvelle fenêtre" w:history="1">
        <w:r w:rsidRPr="00F54C84">
          <w:rPr>
            <w:rStyle w:val="Lienhypertexte"/>
            <w:sz w:val="24"/>
            <w:szCs w:val="24"/>
            <w:lang w:val="en-US"/>
          </w:rPr>
          <w:t>Comparison of legal systems in access to justice for persons with intellectual disabilities in the following countries: Bulgaria, Finland, France, Hungary, Ireland</w:t>
        </w:r>
      </w:hyperlink>
      <w:r w:rsidRPr="00F54C84">
        <w:rPr>
          <w:sz w:val="24"/>
          <w:szCs w:val="24"/>
          <w:lang w:val="en-US"/>
        </w:rPr>
        <w:t xml:space="preserve">. </w:t>
      </w:r>
      <w:proofErr w:type="spellStart"/>
      <w:r w:rsidRPr="00F54C84">
        <w:rPr>
          <w:sz w:val="24"/>
          <w:szCs w:val="24"/>
        </w:rPr>
        <w:t>AJuPID</w:t>
      </w:r>
      <w:proofErr w:type="spellEnd"/>
      <w:r w:rsidRPr="00F54C84">
        <w:rPr>
          <w:sz w:val="24"/>
          <w:szCs w:val="24"/>
        </w:rPr>
        <w:t>. 2015. 103p</w:t>
      </w:r>
    </w:p>
    <w:p w:rsidR="00286B85" w:rsidRDefault="00286B85" w:rsidP="00286B85">
      <w:pPr>
        <w:rPr>
          <w:sz w:val="24"/>
          <w:szCs w:val="24"/>
        </w:rPr>
      </w:pPr>
      <w:r w:rsidRPr="00FF07A7">
        <w:rPr>
          <w:sz w:val="24"/>
          <w:szCs w:val="24"/>
        </w:rPr>
        <w:t xml:space="preserve">Ce rapport de </w:t>
      </w:r>
      <w:r>
        <w:rPr>
          <w:sz w:val="24"/>
          <w:szCs w:val="24"/>
        </w:rPr>
        <w:t>recherche</w:t>
      </w:r>
      <w:r w:rsidRPr="00FF07A7">
        <w:rPr>
          <w:sz w:val="24"/>
          <w:szCs w:val="24"/>
        </w:rPr>
        <w:t xml:space="preserve"> a été mené</w:t>
      </w:r>
      <w:r>
        <w:rPr>
          <w:sz w:val="24"/>
          <w:szCs w:val="24"/>
        </w:rPr>
        <w:t xml:space="preserve"> a été mené en collaboration entre plusieurs organisations concernant l’accès à la justice des personnes ayant une déficience intellectuelle. Il a pour objectif d’étudier les différentes manières d’accompagner les personnes handicapées dans l’usage de leur capacité juridique. Un résumé du rapport est disponible en français.</w:t>
      </w:r>
    </w:p>
    <w:p w:rsidR="00286B85" w:rsidRDefault="00286B85" w:rsidP="00286B85">
      <w:pPr>
        <w:rPr>
          <w:sz w:val="24"/>
          <w:szCs w:val="24"/>
        </w:rPr>
      </w:pPr>
    </w:p>
    <w:p w:rsidR="00286B85" w:rsidRPr="00F54C84" w:rsidRDefault="003912B7" w:rsidP="00286B85">
      <w:pPr>
        <w:pStyle w:val="Paragraphedeliste"/>
        <w:numPr>
          <w:ilvl w:val="0"/>
          <w:numId w:val="27"/>
        </w:numPr>
        <w:rPr>
          <w:sz w:val="24"/>
          <w:szCs w:val="24"/>
        </w:rPr>
      </w:pPr>
      <w:r>
        <w:rPr>
          <w:sz w:val="24"/>
          <w:szCs w:val="24"/>
        </w:rPr>
        <w:t>Agence des Droits Fondamentaux (</w:t>
      </w:r>
      <w:r w:rsidR="00286B85" w:rsidRPr="00F54C84">
        <w:rPr>
          <w:sz w:val="24"/>
          <w:szCs w:val="24"/>
        </w:rPr>
        <w:t>FRA</w:t>
      </w:r>
      <w:r>
        <w:rPr>
          <w:sz w:val="24"/>
          <w:szCs w:val="24"/>
        </w:rPr>
        <w:t>)</w:t>
      </w:r>
      <w:r w:rsidR="00286B85" w:rsidRPr="00F54C84">
        <w:rPr>
          <w:sz w:val="24"/>
          <w:szCs w:val="24"/>
        </w:rPr>
        <w:t xml:space="preserve">. </w:t>
      </w:r>
      <w:hyperlink r:id="rId30" w:tooltip="Accès à La capacité juridique des personnes souffrant de troubles mentaux et des personnes handicapées intellectuelles, page web, nouvelle fenêtre" w:history="1">
        <w:r w:rsidR="00286B85" w:rsidRPr="00F54C84">
          <w:rPr>
            <w:rStyle w:val="Lienhypertexte"/>
            <w:sz w:val="24"/>
            <w:szCs w:val="24"/>
          </w:rPr>
          <w:t>La capacité juridique des personnes souffrant de troubles mentaux et des personnes handicapées intellectuelles</w:t>
        </w:r>
      </w:hyperlink>
      <w:r w:rsidR="00286B85" w:rsidRPr="00F54C84">
        <w:rPr>
          <w:sz w:val="24"/>
          <w:szCs w:val="24"/>
        </w:rPr>
        <w:t>. 2003. 70p</w:t>
      </w:r>
    </w:p>
    <w:p w:rsidR="00286B85" w:rsidRDefault="00286B85" w:rsidP="00F54C84">
      <w:pPr>
        <w:rPr>
          <w:sz w:val="24"/>
          <w:szCs w:val="24"/>
        </w:rPr>
      </w:pPr>
      <w:r>
        <w:rPr>
          <w:sz w:val="24"/>
          <w:szCs w:val="24"/>
        </w:rPr>
        <w:t>Ce rapport analyse les normes juridiques européennes et internationales concernant la capacité juridique. Une enquête sur le terrain a été menée, offrant ainsi un témoignage sur les obstacles rencontrés par les personnes handicapées dans ce domaine.</w:t>
      </w:r>
    </w:p>
    <w:p w:rsidR="00286B85" w:rsidRDefault="00286B85" w:rsidP="00F54C84">
      <w:pPr>
        <w:rPr>
          <w:sz w:val="24"/>
          <w:szCs w:val="24"/>
        </w:rPr>
      </w:pPr>
    </w:p>
    <w:p w:rsidR="00286B85" w:rsidRDefault="00286B85" w:rsidP="00286B85">
      <w:pPr>
        <w:pStyle w:val="Titre2"/>
      </w:pPr>
      <w:bookmarkStart w:id="31" w:name="_Toc433121292"/>
      <w:r>
        <w:t>Compensation du handicap</w:t>
      </w:r>
      <w:bookmarkEnd w:id="31"/>
    </w:p>
    <w:p w:rsidR="00286B85" w:rsidRDefault="00286B85" w:rsidP="00286B85">
      <w:pPr>
        <w:rPr>
          <w:sz w:val="24"/>
          <w:szCs w:val="24"/>
        </w:rPr>
      </w:pPr>
    </w:p>
    <w:p w:rsidR="00286B85" w:rsidRPr="00F54C84" w:rsidRDefault="00286B85" w:rsidP="00286B85">
      <w:pPr>
        <w:pStyle w:val="Paragraphedeliste"/>
        <w:numPr>
          <w:ilvl w:val="0"/>
          <w:numId w:val="27"/>
        </w:numPr>
        <w:rPr>
          <w:sz w:val="24"/>
          <w:szCs w:val="24"/>
        </w:rPr>
      </w:pPr>
      <w:proofErr w:type="spellStart"/>
      <w:r w:rsidRPr="00795522">
        <w:rPr>
          <w:sz w:val="24"/>
          <w:szCs w:val="24"/>
          <w:lang w:val="en-US"/>
        </w:rPr>
        <w:t>Noury</w:t>
      </w:r>
      <w:proofErr w:type="spellEnd"/>
      <w:r w:rsidRPr="00795522">
        <w:rPr>
          <w:sz w:val="24"/>
          <w:szCs w:val="24"/>
          <w:lang w:val="en-US"/>
        </w:rPr>
        <w:t xml:space="preserve"> D., Segal P., </w:t>
      </w:r>
      <w:proofErr w:type="spellStart"/>
      <w:r w:rsidRPr="00795522">
        <w:rPr>
          <w:sz w:val="24"/>
          <w:szCs w:val="24"/>
          <w:lang w:val="en-US"/>
        </w:rPr>
        <w:t>Aubin</w:t>
      </w:r>
      <w:proofErr w:type="spellEnd"/>
      <w:r w:rsidRPr="00795522">
        <w:rPr>
          <w:sz w:val="24"/>
          <w:szCs w:val="24"/>
          <w:lang w:val="en-US"/>
        </w:rPr>
        <w:t xml:space="preserve"> C. </w:t>
      </w:r>
      <w:hyperlink r:id="rId31" w:tooltip="Accès à Etude d'administration comparée sur les dispositifs de compensation du handicap en Europe, page web, nouvelle fenêtre" w:history="1">
        <w:r w:rsidRPr="00F54C84">
          <w:rPr>
            <w:rStyle w:val="Lienhypertexte"/>
            <w:sz w:val="24"/>
            <w:szCs w:val="24"/>
          </w:rPr>
          <w:t>Etude d’administration comparée sur les dispositifs de compensation du handicap en Europe. Rapport thématique sur la politique du handicap en Europe</w:t>
        </w:r>
      </w:hyperlink>
      <w:r w:rsidRPr="00F54C84">
        <w:rPr>
          <w:sz w:val="24"/>
          <w:szCs w:val="24"/>
        </w:rPr>
        <w:t>. 2003. 89p</w:t>
      </w:r>
    </w:p>
    <w:p w:rsidR="00286B85" w:rsidRDefault="00286B85" w:rsidP="00286B85">
      <w:pPr>
        <w:rPr>
          <w:sz w:val="24"/>
          <w:szCs w:val="24"/>
        </w:rPr>
      </w:pPr>
      <w:r>
        <w:rPr>
          <w:sz w:val="24"/>
          <w:szCs w:val="24"/>
        </w:rPr>
        <w:t>Ce rapport présente le contexte européen de mise en place des politiques nationales d’intégration des personnes handicapées. Il présente cinq thèmes : les engagements internationaux en faveur de l’inclusion des personnes handicapées, les tendances des politiques nationales menées pour les élèves à besoins éducatifs particuliers, l’évolution des politiques nationales d’insertion professionnelle, la politique allemande dans le domaine du handicap et l’effort financier consenti dans les différents pays européens.</w:t>
      </w:r>
    </w:p>
    <w:p w:rsidR="00286B85" w:rsidRDefault="00286B85" w:rsidP="00F54C84">
      <w:pPr>
        <w:rPr>
          <w:sz w:val="24"/>
          <w:szCs w:val="24"/>
        </w:rPr>
      </w:pPr>
    </w:p>
    <w:p w:rsidR="00F54C84" w:rsidRDefault="00F54C84" w:rsidP="00F54C84">
      <w:pPr>
        <w:pStyle w:val="Titre2"/>
      </w:pPr>
      <w:bookmarkStart w:id="32" w:name="_Toc433121293"/>
      <w:r>
        <w:lastRenderedPageBreak/>
        <w:t>Définition du handicap</w:t>
      </w:r>
      <w:bookmarkEnd w:id="32"/>
    </w:p>
    <w:p w:rsidR="00F54C84" w:rsidRDefault="00F54C84" w:rsidP="00F54C84">
      <w:pPr>
        <w:rPr>
          <w:sz w:val="24"/>
          <w:szCs w:val="24"/>
        </w:rPr>
      </w:pPr>
    </w:p>
    <w:p w:rsidR="00F54C84" w:rsidRPr="00F54C84" w:rsidRDefault="00F54C84" w:rsidP="00F54C84">
      <w:pPr>
        <w:pStyle w:val="Paragraphedeliste"/>
        <w:numPr>
          <w:ilvl w:val="0"/>
          <w:numId w:val="27"/>
        </w:numPr>
        <w:rPr>
          <w:sz w:val="24"/>
          <w:szCs w:val="24"/>
        </w:rPr>
      </w:pPr>
      <w:r w:rsidRPr="00F54C84">
        <w:rPr>
          <w:sz w:val="24"/>
          <w:szCs w:val="24"/>
        </w:rPr>
        <w:t xml:space="preserve">Université Brunel. </w:t>
      </w:r>
      <w:hyperlink r:id="rId32" w:tooltip="Accès à Définition du handicap en Europe analyse comparative, page web, nouvelle fenêtre" w:history="1">
        <w:r w:rsidRPr="00F54C84">
          <w:rPr>
            <w:rStyle w:val="Lienhypertexte"/>
            <w:sz w:val="24"/>
            <w:szCs w:val="24"/>
          </w:rPr>
          <w:t>Définitions du handicap en Europe analyse comparative</w:t>
        </w:r>
      </w:hyperlink>
      <w:r w:rsidRPr="00F54C84">
        <w:rPr>
          <w:sz w:val="24"/>
          <w:szCs w:val="24"/>
        </w:rPr>
        <w:t>. Bruxelles : Commission européenne. 2004. 276p</w:t>
      </w:r>
    </w:p>
    <w:p w:rsidR="00F54C84" w:rsidRDefault="00F54C84" w:rsidP="00F54C84">
      <w:pPr>
        <w:rPr>
          <w:sz w:val="24"/>
          <w:szCs w:val="24"/>
        </w:rPr>
      </w:pPr>
      <w:r>
        <w:rPr>
          <w:sz w:val="24"/>
          <w:szCs w:val="24"/>
        </w:rPr>
        <w:t>Cette étude analyse les implications des différentes définitions du handicap sur les politiques concernant les personnes handicapées dans quinze pays de l’Union Européenne. Cette étude démontre que la définition du handicap influe sur la manière dont les personnes handicapées sont considérées par les administrations et autres organismes.</w:t>
      </w:r>
    </w:p>
    <w:p w:rsidR="00F54C84" w:rsidRDefault="00F54C84" w:rsidP="00F54C84">
      <w:pPr>
        <w:rPr>
          <w:sz w:val="24"/>
          <w:szCs w:val="24"/>
        </w:rPr>
      </w:pPr>
    </w:p>
    <w:p w:rsidR="00F54C84" w:rsidRPr="00186D77" w:rsidRDefault="00F54C84" w:rsidP="00F54C84">
      <w:pPr>
        <w:pStyle w:val="Titre2"/>
        <w:rPr>
          <w:lang w:val="en-US"/>
        </w:rPr>
      </w:pPr>
      <w:bookmarkStart w:id="33" w:name="_Toc433121294"/>
      <w:r w:rsidRPr="00186D77">
        <w:rPr>
          <w:lang w:val="en-US"/>
        </w:rPr>
        <w:t>Désinstitutionnalisation</w:t>
      </w:r>
      <w:bookmarkEnd w:id="33"/>
    </w:p>
    <w:p w:rsidR="00F54C84" w:rsidRPr="00186D77" w:rsidRDefault="00F54C84" w:rsidP="00F54C84">
      <w:pPr>
        <w:rPr>
          <w:sz w:val="24"/>
          <w:szCs w:val="24"/>
          <w:lang w:val="en-US"/>
        </w:rPr>
      </w:pPr>
    </w:p>
    <w:p w:rsidR="00F54C84" w:rsidRPr="00F54C84" w:rsidRDefault="00F54C84" w:rsidP="00F54C84">
      <w:pPr>
        <w:pStyle w:val="Paragraphedeliste"/>
        <w:numPr>
          <w:ilvl w:val="0"/>
          <w:numId w:val="27"/>
        </w:numPr>
        <w:rPr>
          <w:sz w:val="24"/>
          <w:szCs w:val="24"/>
        </w:rPr>
      </w:pPr>
      <w:proofErr w:type="spellStart"/>
      <w:r w:rsidRPr="00F54C84">
        <w:rPr>
          <w:sz w:val="24"/>
          <w:szCs w:val="24"/>
          <w:lang w:val="en-US"/>
        </w:rPr>
        <w:t>Mansell</w:t>
      </w:r>
      <w:proofErr w:type="spellEnd"/>
      <w:r w:rsidRPr="00F54C84">
        <w:rPr>
          <w:sz w:val="24"/>
          <w:szCs w:val="24"/>
          <w:lang w:val="en-US"/>
        </w:rPr>
        <w:t xml:space="preserve"> J., Beadle-Brown J. </w:t>
      </w:r>
      <w:hyperlink r:id="rId33" w:tooltip="Accès à Deinstitutionalization ad community living, page web, nouvelle fenêtre" w:history="1">
        <w:r w:rsidRPr="00F54C84">
          <w:rPr>
            <w:rStyle w:val="Lienhypertexte"/>
            <w:sz w:val="24"/>
            <w:szCs w:val="24"/>
            <w:lang w:val="en-US"/>
          </w:rPr>
          <w:t>“Deinstitutionalization and community living: position statement of the Comparative Policy and Practice Special Interest Research Group of the International Association for the Scientific Study of Intellectual Disabilities”</w:t>
        </w:r>
      </w:hyperlink>
      <w:r w:rsidRPr="00F54C84">
        <w:rPr>
          <w:sz w:val="24"/>
          <w:szCs w:val="24"/>
          <w:lang w:val="en-US"/>
        </w:rPr>
        <w:t xml:space="preserve">. </w:t>
      </w:r>
      <w:r w:rsidRPr="00F54C84">
        <w:rPr>
          <w:sz w:val="24"/>
          <w:szCs w:val="24"/>
        </w:rPr>
        <w:t xml:space="preserve">Journal of </w:t>
      </w:r>
      <w:proofErr w:type="spellStart"/>
      <w:r w:rsidRPr="00F54C84">
        <w:rPr>
          <w:sz w:val="24"/>
          <w:szCs w:val="24"/>
        </w:rPr>
        <w:t>Intellectual</w:t>
      </w:r>
      <w:proofErr w:type="spellEnd"/>
      <w:r w:rsidRPr="00F54C84">
        <w:rPr>
          <w:sz w:val="24"/>
          <w:szCs w:val="24"/>
        </w:rPr>
        <w:t xml:space="preserve"> </w:t>
      </w:r>
      <w:proofErr w:type="spellStart"/>
      <w:r w:rsidRPr="00F54C84">
        <w:rPr>
          <w:sz w:val="24"/>
          <w:szCs w:val="24"/>
        </w:rPr>
        <w:t>Disability</w:t>
      </w:r>
      <w:proofErr w:type="spellEnd"/>
      <w:r w:rsidRPr="00F54C84">
        <w:rPr>
          <w:sz w:val="24"/>
          <w:szCs w:val="24"/>
        </w:rPr>
        <w:t xml:space="preserve"> </w:t>
      </w:r>
      <w:proofErr w:type="spellStart"/>
      <w:r w:rsidRPr="00F54C84">
        <w:rPr>
          <w:sz w:val="24"/>
          <w:szCs w:val="24"/>
        </w:rPr>
        <w:t>Research</w:t>
      </w:r>
      <w:proofErr w:type="spellEnd"/>
      <w:r w:rsidRPr="00F54C84">
        <w:rPr>
          <w:sz w:val="24"/>
          <w:szCs w:val="24"/>
        </w:rPr>
        <w:t xml:space="preserve"> 54, 2. 2010. 11p (accès payant)</w:t>
      </w:r>
    </w:p>
    <w:p w:rsidR="00F54C84" w:rsidRDefault="00F54C84" w:rsidP="00F54C84">
      <w:pPr>
        <w:rPr>
          <w:sz w:val="24"/>
          <w:szCs w:val="24"/>
        </w:rPr>
      </w:pPr>
      <w:r w:rsidRPr="0013280A">
        <w:rPr>
          <w:sz w:val="24"/>
          <w:szCs w:val="24"/>
        </w:rPr>
        <w:t>Cet article présente un état des lieux de</w:t>
      </w:r>
      <w:r>
        <w:rPr>
          <w:sz w:val="24"/>
          <w:szCs w:val="24"/>
        </w:rPr>
        <w:t>s recherches sur les mécanismes</w:t>
      </w:r>
      <w:r w:rsidRPr="0013280A">
        <w:rPr>
          <w:sz w:val="24"/>
          <w:szCs w:val="24"/>
        </w:rPr>
        <w:t xml:space="preserve"> de désinstitutionnalisation au regard des dispositions de la Convention Inter</w:t>
      </w:r>
      <w:r>
        <w:rPr>
          <w:sz w:val="24"/>
          <w:szCs w:val="24"/>
        </w:rPr>
        <w:t>n</w:t>
      </w:r>
      <w:r w:rsidRPr="0013280A">
        <w:rPr>
          <w:sz w:val="24"/>
          <w:szCs w:val="24"/>
        </w:rPr>
        <w:t xml:space="preserve">ationale relative </w:t>
      </w:r>
      <w:r>
        <w:rPr>
          <w:sz w:val="24"/>
          <w:szCs w:val="24"/>
        </w:rPr>
        <w:t>aux Droits des Personnes Handicapées.</w:t>
      </w:r>
    </w:p>
    <w:p w:rsidR="00F54C84" w:rsidRDefault="00F54C84" w:rsidP="00F54C84">
      <w:pPr>
        <w:rPr>
          <w:sz w:val="24"/>
          <w:szCs w:val="24"/>
        </w:rPr>
      </w:pPr>
    </w:p>
    <w:p w:rsidR="00286B85" w:rsidRPr="005245D1" w:rsidRDefault="00286B85" w:rsidP="00286B85">
      <w:pPr>
        <w:pStyle w:val="Titre2"/>
      </w:pPr>
      <w:bookmarkStart w:id="34" w:name="_Toc433121295"/>
      <w:r>
        <w:t>Genre</w:t>
      </w:r>
      <w:bookmarkEnd w:id="34"/>
    </w:p>
    <w:p w:rsidR="00286B85" w:rsidRPr="005245D1" w:rsidRDefault="00286B85" w:rsidP="00286B85">
      <w:pPr>
        <w:rPr>
          <w:sz w:val="24"/>
          <w:szCs w:val="24"/>
        </w:rPr>
      </w:pPr>
    </w:p>
    <w:p w:rsidR="00286B85" w:rsidRPr="00F54C84" w:rsidRDefault="00286B85" w:rsidP="00286B85">
      <w:pPr>
        <w:pStyle w:val="Paragraphedeliste"/>
        <w:numPr>
          <w:ilvl w:val="0"/>
          <w:numId w:val="27"/>
        </w:numPr>
        <w:rPr>
          <w:sz w:val="24"/>
          <w:szCs w:val="24"/>
        </w:rPr>
      </w:pPr>
      <w:r w:rsidRPr="00795522">
        <w:rPr>
          <w:sz w:val="24"/>
          <w:szCs w:val="24"/>
          <w:lang w:val="en-US"/>
        </w:rPr>
        <w:t xml:space="preserve">House V. </w:t>
      </w:r>
      <w:hyperlink r:id="rId34" w:tooltip="Accès à Study on the situation of women with disabilities report, page web, nouvelle fenêtre" w:history="1">
        <w:r w:rsidRPr="00F54C84">
          <w:rPr>
            <w:rStyle w:val="Lienhypertexte"/>
            <w:sz w:val="24"/>
            <w:szCs w:val="24"/>
            <w:lang w:val="en-US"/>
          </w:rPr>
          <w:t>Study on the situation of women with disabilities in light of the UN Convention for the rights of Persons with Disabilities</w:t>
        </w:r>
      </w:hyperlink>
      <w:r w:rsidRPr="00F54C84">
        <w:rPr>
          <w:sz w:val="24"/>
          <w:szCs w:val="24"/>
          <w:lang w:val="en-US"/>
        </w:rPr>
        <w:t xml:space="preserve"> (VC/2007/317): a final report for the DG Employment, Social Affairs and Equal Opportunities of the European Commission. </w:t>
      </w:r>
      <w:r w:rsidRPr="00F54C84">
        <w:rPr>
          <w:sz w:val="24"/>
          <w:szCs w:val="24"/>
        </w:rPr>
        <w:t>2009. 129p</w:t>
      </w:r>
    </w:p>
    <w:p w:rsidR="00286B85" w:rsidRDefault="00286B85" w:rsidP="00286B85">
      <w:pPr>
        <w:rPr>
          <w:sz w:val="24"/>
          <w:szCs w:val="24"/>
        </w:rPr>
      </w:pPr>
      <w:r w:rsidRPr="00AC4FC2">
        <w:rPr>
          <w:sz w:val="24"/>
          <w:szCs w:val="24"/>
        </w:rPr>
        <w:t>L’objectif de cette étude est d’</w:t>
      </w:r>
      <w:r>
        <w:rPr>
          <w:sz w:val="24"/>
          <w:szCs w:val="24"/>
        </w:rPr>
        <w:t>analyser et interpréter les informations sur la situation des femmes handicapées en Europe à la lumière de la Convention International relative aux Droits des Personnes Handicapées. A partir de cette analyse, les aspects devant être améliorés pour permettre aux femmes handicapées de jouir pleinement de leurs droits fondamentaux sont présentés.</w:t>
      </w:r>
    </w:p>
    <w:p w:rsidR="00286B85" w:rsidRDefault="00286B85" w:rsidP="00286B85">
      <w:pPr>
        <w:rPr>
          <w:sz w:val="24"/>
          <w:szCs w:val="24"/>
        </w:rPr>
      </w:pPr>
    </w:p>
    <w:p w:rsidR="00286B85" w:rsidRPr="00F54C84" w:rsidRDefault="00286B85" w:rsidP="00286B85">
      <w:pPr>
        <w:pStyle w:val="Paragraphedeliste"/>
        <w:numPr>
          <w:ilvl w:val="0"/>
          <w:numId w:val="27"/>
        </w:numPr>
        <w:rPr>
          <w:sz w:val="24"/>
          <w:szCs w:val="24"/>
        </w:rPr>
      </w:pPr>
      <w:r w:rsidRPr="00F54C84">
        <w:rPr>
          <w:sz w:val="24"/>
          <w:szCs w:val="24"/>
          <w:lang w:val="en-US"/>
        </w:rPr>
        <w:t xml:space="preserve">House V. </w:t>
      </w:r>
      <w:hyperlink r:id="rId35" w:tooltip="Accès à Study on the situation of women with disabilities, annexes, page web, nouvelle fenêtre" w:history="1">
        <w:r w:rsidRPr="00F54C84">
          <w:rPr>
            <w:rStyle w:val="Lienhypertexte"/>
            <w:sz w:val="24"/>
            <w:szCs w:val="24"/>
            <w:lang w:val="en-US"/>
          </w:rPr>
          <w:t>Study on the situation of women with disabilities in light of the UN Convention for the Rights of People with Disabilities</w:t>
        </w:r>
      </w:hyperlink>
      <w:r w:rsidRPr="00F54C84">
        <w:rPr>
          <w:sz w:val="24"/>
          <w:szCs w:val="24"/>
          <w:lang w:val="en-US"/>
        </w:rPr>
        <w:t xml:space="preserve"> (VC/2007/317). Annexes one, two and three, of the final report for the DG Employment, Social Affairs and Equal Opportunities. </w:t>
      </w:r>
      <w:r w:rsidRPr="00F54C84">
        <w:rPr>
          <w:sz w:val="24"/>
          <w:szCs w:val="24"/>
        </w:rPr>
        <w:t>2009. 67p</w:t>
      </w:r>
    </w:p>
    <w:p w:rsidR="00286B85" w:rsidRDefault="00286B85" w:rsidP="00286B85">
      <w:pPr>
        <w:rPr>
          <w:sz w:val="24"/>
          <w:szCs w:val="24"/>
        </w:rPr>
      </w:pPr>
      <w:r w:rsidRPr="00AC4FC2">
        <w:rPr>
          <w:sz w:val="24"/>
          <w:szCs w:val="24"/>
        </w:rPr>
        <w:t xml:space="preserve">Ce document contient les annexes de l’étude concernant la situation des femmes handicapées. </w:t>
      </w:r>
      <w:r>
        <w:rPr>
          <w:sz w:val="24"/>
          <w:szCs w:val="24"/>
        </w:rPr>
        <w:t>Il comprend la Convention des Nations Unies relative aux Droits des Personnes Handicapées, les notes et références de l’étude ainsi que les données complémentaires.</w:t>
      </w:r>
    </w:p>
    <w:p w:rsidR="00286B85" w:rsidRDefault="002E14DD" w:rsidP="00F54C84">
      <w:pPr>
        <w:rPr>
          <w:sz w:val="24"/>
          <w:szCs w:val="24"/>
        </w:rPr>
      </w:pPr>
      <w:r>
        <w:rPr>
          <w:sz w:val="24"/>
          <w:szCs w:val="24"/>
        </w:rPr>
        <w:br w:type="page"/>
      </w:r>
    </w:p>
    <w:p w:rsidR="00F54C84" w:rsidRDefault="00F54C84" w:rsidP="00F54C84">
      <w:pPr>
        <w:pStyle w:val="Titre2"/>
      </w:pPr>
      <w:bookmarkStart w:id="35" w:name="_Toc433121296"/>
      <w:r>
        <w:lastRenderedPageBreak/>
        <w:t>Participation politique</w:t>
      </w:r>
      <w:bookmarkEnd w:id="35"/>
      <w:r>
        <w:t xml:space="preserve"> </w:t>
      </w:r>
    </w:p>
    <w:p w:rsidR="00F54C84" w:rsidRDefault="00F54C84" w:rsidP="00F54C84">
      <w:pPr>
        <w:rPr>
          <w:sz w:val="24"/>
          <w:szCs w:val="24"/>
        </w:rPr>
      </w:pPr>
    </w:p>
    <w:p w:rsidR="00286B85" w:rsidRPr="00992C6A" w:rsidRDefault="00286B85" w:rsidP="00992C6A">
      <w:pPr>
        <w:pStyle w:val="Paragraphedeliste"/>
        <w:numPr>
          <w:ilvl w:val="0"/>
          <w:numId w:val="32"/>
        </w:numPr>
        <w:rPr>
          <w:sz w:val="24"/>
          <w:szCs w:val="24"/>
          <w:lang w:val="en-US"/>
        </w:rPr>
      </w:pPr>
      <w:proofErr w:type="spellStart"/>
      <w:r w:rsidRPr="00992C6A">
        <w:rPr>
          <w:sz w:val="24"/>
          <w:szCs w:val="24"/>
          <w:lang w:val="en-US"/>
        </w:rPr>
        <w:t>Fambek</w:t>
      </w:r>
      <w:proofErr w:type="spellEnd"/>
      <w:r w:rsidRPr="00992C6A">
        <w:rPr>
          <w:sz w:val="24"/>
          <w:szCs w:val="24"/>
          <w:lang w:val="en-US"/>
        </w:rPr>
        <w:t xml:space="preserve"> M.,</w:t>
      </w:r>
      <w:r w:rsidR="00992C6A" w:rsidRPr="00992C6A">
        <w:rPr>
          <w:sz w:val="24"/>
          <w:szCs w:val="24"/>
          <w:lang w:val="en-US"/>
        </w:rPr>
        <w:t xml:space="preserve"> </w:t>
      </w:r>
      <w:proofErr w:type="spellStart"/>
      <w:r w:rsidR="00992C6A" w:rsidRPr="00992C6A">
        <w:rPr>
          <w:sz w:val="24"/>
          <w:szCs w:val="24"/>
          <w:lang w:val="en-US"/>
        </w:rPr>
        <w:t>Balmas</w:t>
      </w:r>
      <w:proofErr w:type="spellEnd"/>
      <w:r w:rsidR="00992C6A" w:rsidRPr="00992C6A">
        <w:rPr>
          <w:sz w:val="24"/>
          <w:szCs w:val="24"/>
          <w:lang w:val="en-US"/>
        </w:rPr>
        <w:t xml:space="preserve"> S., </w:t>
      </w:r>
      <w:proofErr w:type="spellStart"/>
      <w:r w:rsidR="00992C6A" w:rsidRPr="00992C6A">
        <w:rPr>
          <w:sz w:val="24"/>
          <w:szCs w:val="24"/>
          <w:lang w:val="en-US"/>
        </w:rPr>
        <w:t>Hauquier</w:t>
      </w:r>
      <w:proofErr w:type="spellEnd"/>
      <w:r w:rsidR="00992C6A" w:rsidRPr="00992C6A">
        <w:rPr>
          <w:sz w:val="24"/>
          <w:szCs w:val="24"/>
          <w:lang w:val="en-US"/>
        </w:rPr>
        <w:t xml:space="preserve"> V., </w:t>
      </w:r>
      <w:proofErr w:type="spellStart"/>
      <w:r w:rsidR="00992C6A" w:rsidRPr="00992C6A">
        <w:rPr>
          <w:sz w:val="24"/>
          <w:szCs w:val="24"/>
          <w:lang w:val="en-US"/>
        </w:rPr>
        <w:t>Heindorf</w:t>
      </w:r>
      <w:proofErr w:type="spellEnd"/>
      <w:r w:rsidR="00992C6A" w:rsidRPr="00992C6A">
        <w:rPr>
          <w:sz w:val="24"/>
          <w:szCs w:val="24"/>
          <w:lang w:val="en-US"/>
        </w:rPr>
        <w:t xml:space="preserve"> I., </w:t>
      </w:r>
      <w:proofErr w:type="spellStart"/>
      <w:r w:rsidR="00992C6A" w:rsidRPr="00992C6A">
        <w:rPr>
          <w:sz w:val="24"/>
          <w:szCs w:val="24"/>
          <w:lang w:val="en-US"/>
        </w:rPr>
        <w:t>Kainz</w:t>
      </w:r>
      <w:proofErr w:type="spellEnd"/>
      <w:r w:rsidR="00992C6A" w:rsidRPr="00992C6A">
        <w:rPr>
          <w:sz w:val="24"/>
          <w:szCs w:val="24"/>
          <w:lang w:val="en-US"/>
        </w:rPr>
        <w:t xml:space="preserve"> W., </w:t>
      </w:r>
      <w:proofErr w:type="spellStart"/>
      <w:r w:rsidR="00992C6A" w:rsidRPr="00992C6A">
        <w:rPr>
          <w:sz w:val="24"/>
          <w:szCs w:val="24"/>
          <w:lang w:val="en-US"/>
        </w:rPr>
        <w:t>Pitzinger</w:t>
      </w:r>
      <w:proofErr w:type="spellEnd"/>
      <w:r w:rsidR="00992C6A" w:rsidRPr="00992C6A">
        <w:rPr>
          <w:sz w:val="24"/>
          <w:szCs w:val="24"/>
          <w:lang w:val="en-US"/>
        </w:rPr>
        <w:t xml:space="preserve"> C., </w:t>
      </w:r>
      <w:proofErr w:type="spellStart"/>
      <w:r w:rsidR="00992C6A" w:rsidRPr="00992C6A">
        <w:rPr>
          <w:sz w:val="24"/>
          <w:szCs w:val="24"/>
          <w:lang w:val="en-US"/>
        </w:rPr>
        <w:t>Saupe</w:t>
      </w:r>
      <w:proofErr w:type="spellEnd"/>
      <w:r w:rsidR="00992C6A" w:rsidRPr="00992C6A">
        <w:rPr>
          <w:sz w:val="24"/>
          <w:szCs w:val="24"/>
          <w:lang w:val="en-US"/>
        </w:rPr>
        <w:t xml:space="preserve"> A., </w:t>
      </w:r>
      <w:proofErr w:type="spellStart"/>
      <w:r w:rsidR="00992C6A" w:rsidRPr="00992C6A">
        <w:rPr>
          <w:sz w:val="24"/>
          <w:szCs w:val="24"/>
          <w:lang w:val="en-US"/>
        </w:rPr>
        <w:t>Vilela</w:t>
      </w:r>
      <w:proofErr w:type="spellEnd"/>
      <w:r w:rsidR="00992C6A" w:rsidRPr="00992C6A">
        <w:rPr>
          <w:sz w:val="24"/>
          <w:szCs w:val="24"/>
          <w:lang w:val="en-US"/>
        </w:rPr>
        <w:t xml:space="preserve"> J. </w:t>
      </w:r>
      <w:hyperlink r:id="rId36" w:tooltip="Rapport Zero Project 2015 independant living and political participation, nouvelle fenêtre" w:history="1">
        <w:r w:rsidR="00992C6A" w:rsidRPr="00992C6A">
          <w:rPr>
            <w:rStyle w:val="Lienhypertexte"/>
            <w:sz w:val="24"/>
            <w:szCs w:val="24"/>
            <w:lang w:val="en-US"/>
          </w:rPr>
          <w:t>International study on the implementation of the UN Convention on the Rights of Persons with Disabilities : Independent living and political participation</w:t>
        </w:r>
      </w:hyperlink>
      <w:r w:rsidR="00992C6A" w:rsidRPr="00992C6A">
        <w:rPr>
          <w:sz w:val="24"/>
          <w:szCs w:val="24"/>
          <w:lang w:val="en-US"/>
        </w:rPr>
        <w:t>. Zero project report. 2015. 63p</w:t>
      </w:r>
    </w:p>
    <w:p w:rsidR="00992C6A" w:rsidRPr="00992C6A" w:rsidRDefault="00992C6A" w:rsidP="00F54C84">
      <w:pPr>
        <w:rPr>
          <w:sz w:val="24"/>
          <w:szCs w:val="24"/>
        </w:rPr>
      </w:pPr>
      <w:r w:rsidRPr="00992C6A">
        <w:rPr>
          <w:sz w:val="24"/>
          <w:szCs w:val="24"/>
        </w:rPr>
        <w:t xml:space="preserve">Le rapport </w:t>
      </w:r>
      <w:proofErr w:type="spellStart"/>
      <w:r w:rsidRPr="00992C6A">
        <w:rPr>
          <w:sz w:val="24"/>
          <w:szCs w:val="24"/>
        </w:rPr>
        <w:t>Zero</w:t>
      </w:r>
      <w:proofErr w:type="spellEnd"/>
      <w:r w:rsidRPr="00992C6A">
        <w:rPr>
          <w:sz w:val="24"/>
          <w:szCs w:val="24"/>
        </w:rPr>
        <w:t xml:space="preserve"> Project est publié annuellement autour d’une thématique spécifique, ici la vie indépendante et la participation politique. </w:t>
      </w:r>
      <w:r>
        <w:rPr>
          <w:sz w:val="24"/>
          <w:szCs w:val="24"/>
        </w:rPr>
        <w:t>Il est centré sur la mise en œuvre des dispositions de la Convention autour de la thématique qui est abordée, et est le fruit de très nombreuses contributions partout dans le monde.</w:t>
      </w:r>
    </w:p>
    <w:p w:rsidR="00286B85" w:rsidRPr="00992C6A" w:rsidRDefault="00286B85" w:rsidP="00F54C84">
      <w:pPr>
        <w:rPr>
          <w:sz w:val="24"/>
          <w:szCs w:val="24"/>
        </w:rPr>
      </w:pPr>
    </w:p>
    <w:p w:rsidR="00F54C84" w:rsidRPr="00F54C84" w:rsidRDefault="003912B7" w:rsidP="00F54C84">
      <w:pPr>
        <w:pStyle w:val="Paragraphedeliste"/>
        <w:numPr>
          <w:ilvl w:val="0"/>
          <w:numId w:val="27"/>
        </w:numPr>
        <w:rPr>
          <w:sz w:val="24"/>
          <w:szCs w:val="24"/>
        </w:rPr>
      </w:pPr>
      <w:r>
        <w:rPr>
          <w:sz w:val="24"/>
          <w:szCs w:val="24"/>
          <w:lang w:val="en-US"/>
        </w:rPr>
        <w:t>Agency for Fundamental Rights (</w:t>
      </w:r>
      <w:r w:rsidR="00F54C84" w:rsidRPr="00F54C84">
        <w:rPr>
          <w:sz w:val="24"/>
          <w:szCs w:val="24"/>
          <w:lang w:val="en-US"/>
        </w:rPr>
        <w:t>FRA</w:t>
      </w:r>
      <w:r>
        <w:rPr>
          <w:sz w:val="24"/>
          <w:szCs w:val="24"/>
          <w:lang w:val="en-US"/>
        </w:rPr>
        <w:t>)</w:t>
      </w:r>
      <w:r w:rsidR="00F54C84" w:rsidRPr="00F54C84">
        <w:rPr>
          <w:sz w:val="24"/>
          <w:szCs w:val="24"/>
          <w:lang w:val="en-US"/>
        </w:rPr>
        <w:t xml:space="preserve">. </w:t>
      </w:r>
      <w:hyperlink r:id="rId37" w:tooltip="Accès à The right to political participation of persons with disabilities, page web, nouvelle fenêtre" w:history="1">
        <w:r w:rsidR="00F54C84" w:rsidRPr="00F54C84">
          <w:rPr>
            <w:rStyle w:val="Lienhypertexte"/>
            <w:sz w:val="24"/>
            <w:szCs w:val="24"/>
            <w:lang w:val="en-US"/>
          </w:rPr>
          <w:t>The right to political participation of persons with disabilities</w:t>
        </w:r>
      </w:hyperlink>
      <w:r w:rsidR="00F54C84" w:rsidRPr="00F54C84">
        <w:rPr>
          <w:sz w:val="24"/>
          <w:szCs w:val="24"/>
          <w:lang w:val="en-US"/>
        </w:rPr>
        <w:t xml:space="preserve">. </w:t>
      </w:r>
      <w:r w:rsidR="00F54C84" w:rsidRPr="0017641F">
        <w:rPr>
          <w:sz w:val="24"/>
          <w:szCs w:val="24"/>
          <w:lang w:val="en-US"/>
        </w:rPr>
        <w:t xml:space="preserve">Summary. </w:t>
      </w:r>
      <w:r w:rsidR="00F54C84" w:rsidRPr="00F54C84">
        <w:rPr>
          <w:sz w:val="24"/>
          <w:szCs w:val="24"/>
        </w:rPr>
        <w:t>2014. 12p</w:t>
      </w:r>
    </w:p>
    <w:p w:rsidR="00F54C84" w:rsidRDefault="00F54C84" w:rsidP="00F54C84">
      <w:pPr>
        <w:rPr>
          <w:sz w:val="24"/>
          <w:szCs w:val="24"/>
        </w:rPr>
      </w:pPr>
      <w:r w:rsidRPr="00FF07A7">
        <w:rPr>
          <w:sz w:val="24"/>
          <w:szCs w:val="24"/>
        </w:rPr>
        <w:t>Ce rapport contient une analyse des données concernant la participation politique des person</w:t>
      </w:r>
      <w:r>
        <w:rPr>
          <w:sz w:val="24"/>
          <w:szCs w:val="24"/>
        </w:rPr>
        <w:t>n</w:t>
      </w:r>
      <w:r w:rsidRPr="00FF07A7">
        <w:rPr>
          <w:sz w:val="24"/>
          <w:szCs w:val="24"/>
        </w:rPr>
        <w:t>es handicapées dans les 28 pays membres de l’Union Européenne.</w:t>
      </w:r>
    </w:p>
    <w:p w:rsidR="00F54C84" w:rsidRPr="00FF07A7" w:rsidRDefault="00F54C84" w:rsidP="00F54C84">
      <w:pPr>
        <w:rPr>
          <w:sz w:val="24"/>
          <w:szCs w:val="24"/>
        </w:rPr>
      </w:pPr>
    </w:p>
    <w:p w:rsidR="00F54C84" w:rsidRPr="00F54C84" w:rsidRDefault="003912B7" w:rsidP="00F54C84">
      <w:pPr>
        <w:pStyle w:val="Paragraphedeliste"/>
        <w:numPr>
          <w:ilvl w:val="0"/>
          <w:numId w:val="27"/>
        </w:numPr>
        <w:rPr>
          <w:sz w:val="24"/>
          <w:szCs w:val="24"/>
        </w:rPr>
      </w:pPr>
      <w:r>
        <w:rPr>
          <w:sz w:val="24"/>
          <w:szCs w:val="24"/>
          <w:lang w:val="en-US"/>
        </w:rPr>
        <w:t>Agency for Fundamental Rights (</w:t>
      </w:r>
      <w:r w:rsidR="00F54C84" w:rsidRPr="00F54C84">
        <w:rPr>
          <w:sz w:val="24"/>
          <w:szCs w:val="24"/>
          <w:lang w:val="en-US"/>
        </w:rPr>
        <w:t>FRA</w:t>
      </w:r>
      <w:r>
        <w:rPr>
          <w:sz w:val="24"/>
          <w:szCs w:val="24"/>
          <w:lang w:val="en-US"/>
        </w:rPr>
        <w:t>)</w:t>
      </w:r>
      <w:r w:rsidR="00F54C84" w:rsidRPr="00F54C84">
        <w:rPr>
          <w:sz w:val="24"/>
          <w:szCs w:val="24"/>
          <w:lang w:val="en-US"/>
        </w:rPr>
        <w:t xml:space="preserve">. </w:t>
      </w:r>
      <w:hyperlink r:id="rId38" w:tooltip="Accès à The right to political participation for persons with disabilities: human rights indicators, page web, nouvelle fenêtre" w:history="1">
        <w:r w:rsidR="00F54C84" w:rsidRPr="00F54C84">
          <w:rPr>
            <w:rStyle w:val="Lienhypertexte"/>
            <w:sz w:val="24"/>
            <w:szCs w:val="24"/>
            <w:lang w:val="en-US"/>
          </w:rPr>
          <w:t>The right to political participation for persons with disabilities: human rights indicators</w:t>
        </w:r>
      </w:hyperlink>
      <w:r w:rsidR="00F54C84" w:rsidRPr="00F54C84">
        <w:rPr>
          <w:sz w:val="24"/>
          <w:szCs w:val="24"/>
          <w:lang w:val="en-US"/>
        </w:rPr>
        <w:t xml:space="preserve">. </w:t>
      </w:r>
      <w:r w:rsidR="00F54C84" w:rsidRPr="00F54C84">
        <w:rPr>
          <w:sz w:val="24"/>
          <w:szCs w:val="24"/>
        </w:rPr>
        <w:t>2014. 108p</w:t>
      </w:r>
    </w:p>
    <w:p w:rsidR="00F54C84" w:rsidRPr="00FF07A7" w:rsidRDefault="00F54C84" w:rsidP="00F54C84">
      <w:pPr>
        <w:rPr>
          <w:sz w:val="24"/>
          <w:szCs w:val="24"/>
        </w:rPr>
      </w:pPr>
      <w:r w:rsidRPr="00FF07A7">
        <w:rPr>
          <w:sz w:val="24"/>
          <w:szCs w:val="24"/>
        </w:rPr>
        <w:t>Ce document contient une analyse des données relatives aux droits de l’Homme concernant la parti</w:t>
      </w:r>
      <w:r>
        <w:rPr>
          <w:sz w:val="24"/>
          <w:szCs w:val="24"/>
        </w:rPr>
        <w:t>cipation politique des personne</w:t>
      </w:r>
      <w:r w:rsidRPr="00FF07A7">
        <w:rPr>
          <w:sz w:val="24"/>
          <w:szCs w:val="24"/>
        </w:rPr>
        <w:t>s</w:t>
      </w:r>
      <w:r>
        <w:rPr>
          <w:sz w:val="24"/>
          <w:szCs w:val="24"/>
        </w:rPr>
        <w:t xml:space="preserve"> </w:t>
      </w:r>
      <w:r w:rsidRPr="00FF07A7">
        <w:rPr>
          <w:sz w:val="24"/>
          <w:szCs w:val="24"/>
        </w:rPr>
        <w:t xml:space="preserve">handicapées et révèle que de nombreuses </w:t>
      </w:r>
      <w:r>
        <w:rPr>
          <w:sz w:val="24"/>
          <w:szCs w:val="24"/>
        </w:rPr>
        <w:t>barrière</w:t>
      </w:r>
      <w:r w:rsidRPr="00FF07A7">
        <w:rPr>
          <w:sz w:val="24"/>
          <w:szCs w:val="24"/>
        </w:rPr>
        <w:t>s emp</w:t>
      </w:r>
      <w:r>
        <w:rPr>
          <w:sz w:val="24"/>
          <w:szCs w:val="24"/>
        </w:rPr>
        <w:t>êchent leur pleine et entière participation à la vie politique.</w:t>
      </w:r>
    </w:p>
    <w:p w:rsidR="00F54C84" w:rsidRDefault="00F54C84" w:rsidP="00F54C84">
      <w:pPr>
        <w:rPr>
          <w:sz w:val="24"/>
          <w:szCs w:val="24"/>
        </w:rPr>
      </w:pPr>
    </w:p>
    <w:sectPr w:rsidR="00F54C84" w:rsidSect="00B20802">
      <w:footerReference w:type="default" r:id="rId3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5B" w:rsidRDefault="00661D5B" w:rsidP="007D5B54">
      <w:pPr>
        <w:spacing w:line="240" w:lineRule="auto"/>
      </w:pPr>
      <w:r>
        <w:separator/>
      </w:r>
    </w:p>
  </w:endnote>
  <w:endnote w:type="continuationSeparator" w:id="0">
    <w:p w:rsidR="00661D5B" w:rsidRDefault="00661D5B" w:rsidP="007D5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MediumC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SquareSansPro">
    <w:panose1 w:val="00000000000000000000"/>
    <w:charset w:val="00"/>
    <w:family w:val="swiss"/>
    <w:notTrueType/>
    <w:pitch w:val="default"/>
    <w:sig w:usb0="00000003" w:usb1="00000000" w:usb2="00000000" w:usb3="00000000" w:csb0="00000001" w:csb1="00000000"/>
  </w:font>
  <w:font w:name="ECSquareSansPr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66327"/>
      <w:docPartObj>
        <w:docPartGallery w:val="Page Numbers (Bottom of Page)"/>
        <w:docPartUnique/>
      </w:docPartObj>
    </w:sdtPr>
    <w:sdtEndPr/>
    <w:sdtContent>
      <w:p w:rsidR="00C020B3" w:rsidRDefault="00C020B3">
        <w:pPr>
          <w:pStyle w:val="Pieddepage"/>
          <w:jc w:val="right"/>
        </w:pPr>
        <w:r>
          <w:fldChar w:fldCharType="begin"/>
        </w:r>
        <w:r>
          <w:instrText>PAGE   \* MERGEFORMAT</w:instrText>
        </w:r>
        <w:r>
          <w:fldChar w:fldCharType="separate"/>
        </w:r>
        <w:r w:rsidR="00E701D7">
          <w:rPr>
            <w:noProof/>
          </w:rPr>
          <w:t>3</w:t>
        </w:r>
        <w:r>
          <w:fldChar w:fldCharType="end"/>
        </w:r>
      </w:p>
    </w:sdtContent>
  </w:sdt>
  <w:p w:rsidR="00C020B3" w:rsidRDefault="00C020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5B" w:rsidRDefault="00661D5B" w:rsidP="007D5B54">
      <w:pPr>
        <w:spacing w:line="240" w:lineRule="auto"/>
      </w:pPr>
      <w:r>
        <w:separator/>
      </w:r>
    </w:p>
  </w:footnote>
  <w:footnote w:type="continuationSeparator" w:id="0">
    <w:p w:rsidR="00661D5B" w:rsidRDefault="00661D5B" w:rsidP="007D5B54">
      <w:pPr>
        <w:spacing w:line="240" w:lineRule="auto"/>
      </w:pPr>
      <w:r>
        <w:continuationSeparator/>
      </w:r>
    </w:p>
  </w:footnote>
  <w:footnote w:id="1">
    <w:p w:rsidR="007955E4" w:rsidRDefault="007955E4" w:rsidP="007955E4">
      <w:pPr>
        <w:pStyle w:val="Notedebasdepage"/>
      </w:pPr>
      <w:r>
        <w:rPr>
          <w:rStyle w:val="Appelnotedebasdep"/>
        </w:rPr>
        <w:footnoteRef/>
      </w:r>
      <w:r>
        <w:t xml:space="preserve"> </w:t>
      </w:r>
      <w:r w:rsidRPr="008029B1">
        <w:rPr>
          <w:b/>
        </w:rPr>
        <w:t>Acteurs de terrain</w:t>
      </w:r>
    </w:p>
    <w:p w:rsidR="007955E4" w:rsidRDefault="007955E4" w:rsidP="007955E4">
      <w:pPr>
        <w:pStyle w:val="Notedebasdepage"/>
        <w:jc w:val="both"/>
      </w:pPr>
      <w:r>
        <w:t xml:space="preserve">Les personnes handicapées, leurs familles et les organisations qui les représentent. Les organisations de défense des personnes. Les prestataires de services et autres organisations travaillant dans le domaine du handicap. Services et autres organisations intervenant en milieu </w:t>
      </w:r>
      <w:r w:rsidRPr="00500371">
        <w:t>ordinaire</w:t>
      </w:r>
      <w:r>
        <w:t xml:space="preserve"> et devant prendre en compte dans leurs activités les personnes handicapées comme les enseignants, architectes, entreprises, industries, etc. Les décideurs politiques aux niveaux local, national et international.</w:t>
      </w:r>
    </w:p>
  </w:footnote>
  <w:footnote w:id="2">
    <w:p w:rsidR="00C020B3" w:rsidRDefault="00C020B3" w:rsidP="007E5FA1">
      <w:pPr>
        <w:pStyle w:val="Notedebasdepage"/>
        <w:spacing w:line="276" w:lineRule="auto"/>
      </w:pPr>
      <w:r>
        <w:rPr>
          <w:rStyle w:val="Appelnotedebasdep"/>
        </w:rPr>
        <w:footnoteRef/>
      </w:r>
      <w:r>
        <w:t xml:space="preserve"> Extrait de l’article 24 de la Convention Internationale relative aux Droits des Personnes Handicapées (CDPH). L’intégralité de l’article ici : </w:t>
      </w:r>
      <w:hyperlink r:id="rId1" w:history="1">
        <w:r w:rsidRPr="002464BA">
          <w:rPr>
            <w:rStyle w:val="Lienhypertexte"/>
          </w:rPr>
          <w:t>http://www.un.org/french/disabilities/default.asp?id=1413</w:t>
        </w:r>
      </w:hyperlink>
      <w:r>
        <w:t xml:space="preserve"> </w:t>
      </w:r>
    </w:p>
  </w:footnote>
  <w:footnote w:id="3">
    <w:p w:rsidR="00C020B3" w:rsidRPr="007E5FA1" w:rsidRDefault="00C020B3" w:rsidP="007E5FA1">
      <w:pPr>
        <w:rPr>
          <w:sz w:val="24"/>
        </w:rPr>
      </w:pPr>
      <w:r>
        <w:rPr>
          <w:rStyle w:val="Appelnotedebasdep"/>
        </w:rPr>
        <w:footnoteRef/>
      </w:r>
      <w:r>
        <w:t xml:space="preserve"> </w:t>
      </w:r>
      <w:proofErr w:type="spellStart"/>
      <w:r w:rsidRPr="007E5FA1">
        <w:rPr>
          <w:sz w:val="20"/>
        </w:rPr>
        <w:t>Beaucher</w:t>
      </w:r>
      <w:proofErr w:type="spellEnd"/>
      <w:r w:rsidRPr="007E5FA1">
        <w:rPr>
          <w:sz w:val="20"/>
        </w:rPr>
        <w:t xml:space="preserve"> H. La scolarisation des élèves en situation de handicap en Europe. CRID-CIEP. 2012. 32p</w:t>
      </w:r>
    </w:p>
  </w:footnote>
  <w:footnote w:id="4">
    <w:p w:rsidR="00C020B3" w:rsidRPr="0017641F" w:rsidRDefault="00C020B3" w:rsidP="007E5FA1">
      <w:pPr>
        <w:rPr>
          <w:sz w:val="24"/>
          <w:lang w:val="en-US"/>
        </w:rPr>
      </w:pPr>
      <w:r>
        <w:rPr>
          <w:rStyle w:val="Appelnotedebasdep"/>
        </w:rPr>
        <w:footnoteRef/>
      </w:r>
      <w:r>
        <w:t xml:space="preserve"> </w:t>
      </w:r>
      <w:r w:rsidRPr="007E5FA1">
        <w:rPr>
          <w:sz w:val="20"/>
        </w:rPr>
        <w:t xml:space="preserve">Collombet C., </w:t>
      </w:r>
      <w:proofErr w:type="spellStart"/>
      <w:r w:rsidRPr="007E5FA1">
        <w:rPr>
          <w:sz w:val="20"/>
        </w:rPr>
        <w:t>Malochet</w:t>
      </w:r>
      <w:proofErr w:type="spellEnd"/>
      <w:r w:rsidRPr="007E5FA1">
        <w:rPr>
          <w:sz w:val="20"/>
        </w:rPr>
        <w:t xml:space="preserve"> G. La scolarisation des enfants en situation de handicap dans les pays européens. Quelles voies de réforme pour la France ? Centre d’analyse stratégique. </w:t>
      </w:r>
      <w:r w:rsidRPr="0017641F">
        <w:rPr>
          <w:sz w:val="20"/>
          <w:lang w:val="en-US"/>
        </w:rPr>
        <w:t>2013. 12p</w:t>
      </w:r>
    </w:p>
  </w:footnote>
  <w:footnote w:id="5">
    <w:p w:rsidR="00C020B3" w:rsidRPr="00B20802" w:rsidRDefault="00C020B3" w:rsidP="00B20802">
      <w:pPr>
        <w:rPr>
          <w:sz w:val="24"/>
          <w:lang w:val="en-US"/>
        </w:rPr>
      </w:pPr>
      <w:r>
        <w:rPr>
          <w:rStyle w:val="Appelnotedebasdep"/>
        </w:rPr>
        <w:footnoteRef/>
      </w:r>
      <w:r w:rsidRPr="007E5FA1">
        <w:rPr>
          <w:lang w:val="en-US"/>
        </w:rPr>
        <w:t xml:space="preserve"> </w:t>
      </w:r>
      <w:proofErr w:type="spellStart"/>
      <w:r w:rsidRPr="007E5FA1">
        <w:rPr>
          <w:sz w:val="20"/>
          <w:lang w:val="en-US"/>
        </w:rPr>
        <w:t>Ebersold</w:t>
      </w:r>
      <w:proofErr w:type="spellEnd"/>
      <w:r w:rsidRPr="007E5FA1">
        <w:rPr>
          <w:sz w:val="20"/>
          <w:lang w:val="en-US"/>
        </w:rPr>
        <w:t xml:space="preserve"> S. Inclusive education for young disabled people in Europe: trends, issues and challenges. </w:t>
      </w:r>
      <w:proofErr w:type="gramStart"/>
      <w:r w:rsidRPr="007E5FA1">
        <w:rPr>
          <w:sz w:val="20"/>
          <w:lang w:val="en-US"/>
        </w:rPr>
        <w:t>A synthesis of evidence from ANED Country reports and additional sources.</w:t>
      </w:r>
      <w:proofErr w:type="gramEnd"/>
      <w:r w:rsidRPr="007E5FA1">
        <w:rPr>
          <w:sz w:val="20"/>
          <w:lang w:val="en-US"/>
        </w:rPr>
        <w:t xml:space="preserve"> </w:t>
      </w:r>
      <w:proofErr w:type="gramStart"/>
      <w:r w:rsidRPr="003E1710">
        <w:rPr>
          <w:sz w:val="20"/>
          <w:lang w:val="en-US"/>
        </w:rPr>
        <w:t>ANED.</w:t>
      </w:r>
      <w:proofErr w:type="gramEnd"/>
      <w:r w:rsidRPr="003E1710">
        <w:rPr>
          <w:sz w:val="20"/>
          <w:lang w:val="en-US"/>
        </w:rPr>
        <w:t xml:space="preserve"> 2011. 86p</w:t>
      </w:r>
    </w:p>
  </w:footnote>
  <w:footnote w:id="6">
    <w:p w:rsidR="00C020B3" w:rsidRPr="009048CE" w:rsidRDefault="00C020B3" w:rsidP="009048CE">
      <w:pPr>
        <w:rPr>
          <w:sz w:val="24"/>
        </w:rPr>
      </w:pPr>
      <w:r>
        <w:rPr>
          <w:rStyle w:val="Appelnotedebasdep"/>
        </w:rPr>
        <w:footnoteRef/>
      </w:r>
      <w:r w:rsidRPr="009048CE">
        <w:rPr>
          <w:lang w:val="en-US"/>
        </w:rPr>
        <w:t xml:space="preserve"> </w:t>
      </w:r>
      <w:r w:rsidRPr="009048CE">
        <w:rPr>
          <w:sz w:val="20"/>
          <w:lang w:val="en-US"/>
        </w:rPr>
        <w:t xml:space="preserve">Riddell S. Education and disability/special needs, policies and practices in education, training and employment for students with disabilities and special educational needs in the EU. </w:t>
      </w:r>
      <w:r w:rsidRPr="009048CE">
        <w:rPr>
          <w:sz w:val="20"/>
        </w:rPr>
        <w:t>NESSE. 2012. 95p</w:t>
      </w:r>
    </w:p>
    <w:p w:rsidR="00C020B3" w:rsidRDefault="00C020B3">
      <w:pPr>
        <w:pStyle w:val="Notedebasdepage"/>
      </w:pPr>
    </w:p>
  </w:footnote>
  <w:footnote w:id="7">
    <w:p w:rsidR="00C020B3" w:rsidRDefault="00C020B3">
      <w:pPr>
        <w:pStyle w:val="Notedebasdepage"/>
      </w:pPr>
      <w:r>
        <w:rPr>
          <w:rStyle w:val="Appelnotedebasdep"/>
        </w:rPr>
        <w:footnoteRef/>
      </w:r>
      <w:r>
        <w:t xml:space="preserve"> Extrait de l’article 27 de la Convention Internationale relative aux Droits des Personnes Handicapées. L’intégralité de l‘article 27 ici : </w:t>
      </w:r>
      <w:hyperlink r:id="rId2" w:history="1">
        <w:r w:rsidRPr="00E0332E">
          <w:rPr>
            <w:rStyle w:val="Lienhypertexte"/>
          </w:rPr>
          <w:t>http://www.un.org/french/disabilities/default.asp?id=1414</w:t>
        </w:r>
      </w:hyperlink>
    </w:p>
  </w:footnote>
  <w:footnote w:id="8">
    <w:p w:rsidR="00C020B3" w:rsidRPr="0017641F" w:rsidRDefault="00C020B3" w:rsidP="0039236F">
      <w:pPr>
        <w:rPr>
          <w:sz w:val="20"/>
          <w:szCs w:val="20"/>
          <w:lang w:val="en-US"/>
        </w:rPr>
      </w:pPr>
      <w:r w:rsidRPr="0039236F">
        <w:rPr>
          <w:rStyle w:val="Appelnotedebasdep"/>
          <w:sz w:val="20"/>
          <w:szCs w:val="20"/>
        </w:rPr>
        <w:footnoteRef/>
      </w:r>
      <w:r w:rsidRPr="0039236F">
        <w:rPr>
          <w:sz w:val="20"/>
          <w:szCs w:val="20"/>
          <w:lang w:val="en-US"/>
        </w:rPr>
        <w:t xml:space="preserve"> Butcher Th., </w:t>
      </w:r>
      <w:proofErr w:type="spellStart"/>
      <w:r w:rsidRPr="0039236F">
        <w:rPr>
          <w:sz w:val="20"/>
          <w:szCs w:val="20"/>
          <w:lang w:val="en-US"/>
        </w:rPr>
        <w:t>Fembek</w:t>
      </w:r>
      <w:proofErr w:type="spellEnd"/>
      <w:r w:rsidRPr="0039236F">
        <w:rPr>
          <w:sz w:val="20"/>
          <w:szCs w:val="20"/>
          <w:lang w:val="en-US"/>
        </w:rPr>
        <w:t xml:space="preserve"> M., </w:t>
      </w:r>
      <w:proofErr w:type="spellStart"/>
      <w:r w:rsidRPr="0039236F">
        <w:rPr>
          <w:sz w:val="20"/>
          <w:szCs w:val="20"/>
          <w:lang w:val="en-US"/>
        </w:rPr>
        <w:t>Heindorf</w:t>
      </w:r>
      <w:proofErr w:type="spellEnd"/>
      <w:r w:rsidRPr="0039236F">
        <w:rPr>
          <w:sz w:val="20"/>
          <w:szCs w:val="20"/>
          <w:lang w:val="en-US"/>
        </w:rPr>
        <w:t xml:space="preserve"> I., </w:t>
      </w:r>
      <w:proofErr w:type="spellStart"/>
      <w:r w:rsidRPr="0039236F">
        <w:rPr>
          <w:sz w:val="20"/>
          <w:szCs w:val="20"/>
          <w:lang w:val="en-US"/>
        </w:rPr>
        <w:t>Wallner-Mikl</w:t>
      </w:r>
      <w:proofErr w:type="spellEnd"/>
      <w:r w:rsidRPr="0039236F">
        <w:rPr>
          <w:sz w:val="20"/>
          <w:szCs w:val="20"/>
          <w:lang w:val="en-US"/>
        </w:rPr>
        <w:t xml:space="preserve"> C. International study on the implementation of the UN convention on the rights of persons with disabilities. </w:t>
      </w:r>
      <w:r w:rsidRPr="0017641F">
        <w:rPr>
          <w:sz w:val="20"/>
          <w:szCs w:val="20"/>
          <w:lang w:val="en-US"/>
        </w:rPr>
        <w:t>Zero Project Report. 2012. 228 pages</w:t>
      </w:r>
    </w:p>
  </w:footnote>
  <w:footnote w:id="9">
    <w:p w:rsidR="00C020B3" w:rsidRPr="003E1710" w:rsidRDefault="00C020B3" w:rsidP="0039236F">
      <w:pPr>
        <w:rPr>
          <w:sz w:val="20"/>
          <w:szCs w:val="20"/>
          <w:lang w:val="en-US"/>
        </w:rPr>
      </w:pPr>
      <w:r w:rsidRPr="0039236F">
        <w:rPr>
          <w:rStyle w:val="Appelnotedebasdep"/>
          <w:sz w:val="20"/>
          <w:szCs w:val="20"/>
        </w:rPr>
        <w:footnoteRef/>
      </w:r>
      <w:r w:rsidRPr="0039236F">
        <w:rPr>
          <w:sz w:val="20"/>
          <w:szCs w:val="20"/>
          <w:lang w:val="en-US"/>
        </w:rPr>
        <w:t xml:space="preserve"> </w:t>
      </w:r>
      <w:proofErr w:type="gramStart"/>
      <w:r w:rsidRPr="0039236F">
        <w:rPr>
          <w:sz w:val="20"/>
          <w:szCs w:val="20"/>
          <w:lang w:val="en-US"/>
        </w:rPr>
        <w:t>COWI.</w:t>
      </w:r>
      <w:proofErr w:type="gramEnd"/>
      <w:r w:rsidRPr="0039236F">
        <w:rPr>
          <w:sz w:val="20"/>
          <w:szCs w:val="20"/>
          <w:lang w:val="en-US"/>
        </w:rPr>
        <w:t xml:space="preserve"> </w:t>
      </w:r>
      <w:proofErr w:type="gramStart"/>
      <w:r w:rsidRPr="0039236F">
        <w:rPr>
          <w:sz w:val="20"/>
          <w:szCs w:val="20"/>
          <w:lang w:val="en-US"/>
        </w:rPr>
        <w:t xml:space="preserve">Supported employment for people with disabilities in the EU and EFTA-EEA – good practices and recommendations in support of a </w:t>
      </w:r>
      <w:proofErr w:type="spellStart"/>
      <w:r w:rsidRPr="0039236F">
        <w:rPr>
          <w:sz w:val="20"/>
          <w:szCs w:val="20"/>
          <w:lang w:val="en-US"/>
        </w:rPr>
        <w:t>flexicurity</w:t>
      </w:r>
      <w:proofErr w:type="spellEnd"/>
      <w:r w:rsidRPr="0039236F">
        <w:rPr>
          <w:sz w:val="20"/>
          <w:szCs w:val="20"/>
          <w:lang w:val="en-US"/>
        </w:rPr>
        <w:t xml:space="preserve"> approach.</w:t>
      </w:r>
      <w:proofErr w:type="gramEnd"/>
      <w:r w:rsidRPr="0039236F">
        <w:rPr>
          <w:sz w:val="20"/>
          <w:szCs w:val="20"/>
          <w:lang w:val="en-US"/>
        </w:rPr>
        <w:t xml:space="preserve"> </w:t>
      </w:r>
      <w:r w:rsidRPr="003E1710">
        <w:rPr>
          <w:sz w:val="20"/>
          <w:szCs w:val="20"/>
          <w:lang w:val="en-US"/>
        </w:rPr>
        <w:t>2011. 242p</w:t>
      </w:r>
    </w:p>
  </w:footnote>
  <w:footnote w:id="10">
    <w:p w:rsidR="00C020B3" w:rsidRDefault="00C020B3" w:rsidP="006019F3">
      <w:pPr>
        <w:rPr>
          <w:sz w:val="20"/>
          <w:szCs w:val="20"/>
          <w:lang w:val="en-US"/>
        </w:rPr>
      </w:pPr>
      <w:r w:rsidRPr="0039236F">
        <w:rPr>
          <w:rStyle w:val="Appelnotedebasdep"/>
          <w:sz w:val="20"/>
          <w:szCs w:val="20"/>
        </w:rPr>
        <w:footnoteRef/>
      </w:r>
      <w:r w:rsidRPr="0039236F">
        <w:rPr>
          <w:sz w:val="20"/>
          <w:szCs w:val="20"/>
          <w:lang w:val="en-US"/>
        </w:rPr>
        <w:t xml:space="preserve"> </w:t>
      </w:r>
      <w:proofErr w:type="gramStart"/>
      <w:r w:rsidRPr="0039236F">
        <w:rPr>
          <w:sz w:val="20"/>
          <w:szCs w:val="20"/>
          <w:lang w:val="en-US"/>
        </w:rPr>
        <w:t>COWI.</w:t>
      </w:r>
      <w:proofErr w:type="gramEnd"/>
      <w:r w:rsidRPr="0039236F">
        <w:rPr>
          <w:sz w:val="20"/>
          <w:szCs w:val="20"/>
          <w:lang w:val="en-US"/>
        </w:rPr>
        <w:t xml:space="preserve"> Compendium of good practice: Supported employment for people with disabilities in the EU and EFTA-EEA. </w:t>
      </w:r>
      <w:r>
        <w:rPr>
          <w:sz w:val="20"/>
          <w:szCs w:val="20"/>
          <w:lang w:val="en-US"/>
        </w:rPr>
        <w:t>2011. 49p</w:t>
      </w:r>
    </w:p>
    <w:p w:rsidR="00C020B3" w:rsidRPr="006019F3" w:rsidRDefault="00C020B3" w:rsidP="006019F3">
      <w:pPr>
        <w:rPr>
          <w:sz w:val="20"/>
          <w:szCs w:val="20"/>
          <w:lang w:val="en-US"/>
        </w:rPr>
      </w:pPr>
    </w:p>
  </w:footnote>
  <w:footnote w:id="11">
    <w:p w:rsidR="00C020B3" w:rsidRPr="0039236F" w:rsidRDefault="00C020B3" w:rsidP="0039236F">
      <w:pPr>
        <w:rPr>
          <w:sz w:val="24"/>
        </w:rPr>
      </w:pPr>
      <w:r>
        <w:rPr>
          <w:rStyle w:val="Appelnotedebasdep"/>
        </w:rPr>
        <w:footnoteRef/>
      </w:r>
      <w:r w:rsidRPr="0039236F">
        <w:rPr>
          <w:lang w:val="en-US"/>
        </w:rPr>
        <w:t xml:space="preserve"> </w:t>
      </w:r>
      <w:proofErr w:type="spellStart"/>
      <w:r w:rsidRPr="0039236F">
        <w:rPr>
          <w:sz w:val="20"/>
          <w:lang w:val="en-US"/>
        </w:rPr>
        <w:t>Greve</w:t>
      </w:r>
      <w:proofErr w:type="spellEnd"/>
      <w:r w:rsidRPr="0039236F">
        <w:rPr>
          <w:sz w:val="20"/>
          <w:lang w:val="en-US"/>
        </w:rPr>
        <w:t xml:space="preserve"> B. The </w:t>
      </w:r>
      <w:proofErr w:type="spellStart"/>
      <w:r w:rsidRPr="0039236F">
        <w:rPr>
          <w:sz w:val="20"/>
          <w:lang w:val="en-US"/>
        </w:rPr>
        <w:t>labour</w:t>
      </w:r>
      <w:proofErr w:type="spellEnd"/>
      <w:r w:rsidRPr="0039236F">
        <w:rPr>
          <w:sz w:val="20"/>
          <w:lang w:val="en-US"/>
        </w:rPr>
        <w:t xml:space="preserve"> market situation of disabled people in European countries and implementation of employment policies: a summary of evidence from country reports and research studies. </w:t>
      </w:r>
      <w:r w:rsidRPr="0039236F">
        <w:rPr>
          <w:sz w:val="20"/>
        </w:rPr>
        <w:t>ANED. 2009. 46 p</w:t>
      </w:r>
    </w:p>
  </w:footnote>
  <w:footnote w:id="12">
    <w:p w:rsidR="00C020B3" w:rsidRDefault="00C020B3">
      <w:pPr>
        <w:pStyle w:val="Notedebasdepage"/>
      </w:pPr>
      <w:r>
        <w:rPr>
          <w:rStyle w:val="Appelnotedebasdep"/>
        </w:rPr>
        <w:footnoteRef/>
      </w:r>
      <w:r>
        <w:t xml:space="preserve"> L’intégralité de la Charte des droits fondamentaux de l’Union Européenne peut être consultée sur ce site : </w:t>
      </w:r>
      <w:hyperlink r:id="rId3" w:history="1">
        <w:r w:rsidRPr="00E0332E">
          <w:rPr>
            <w:rStyle w:val="Lienhypertexte"/>
          </w:rPr>
          <w:t>http://www.europarl.europa.eu/charter/pdf/text_fr.pdf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FD3"/>
    <w:multiLevelType w:val="hybridMultilevel"/>
    <w:tmpl w:val="2598C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10B38"/>
    <w:multiLevelType w:val="hybridMultilevel"/>
    <w:tmpl w:val="3D0EAD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A63577"/>
    <w:multiLevelType w:val="hybridMultilevel"/>
    <w:tmpl w:val="644403DA"/>
    <w:lvl w:ilvl="0" w:tplc="3CB69616">
      <w:start w:val="1"/>
      <w:numFmt w:val="bullet"/>
      <w:lvlText w:val="»"/>
      <w:lvlJc w:val="left"/>
      <w:pPr>
        <w:ind w:left="720" w:hanging="360"/>
      </w:pPr>
      <w:rPr>
        <w:rFonts w:ascii="Courier New" w:hAnsi="Courier New"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97F7C39"/>
    <w:multiLevelType w:val="hybridMultilevel"/>
    <w:tmpl w:val="DAA6A3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4C52E1"/>
    <w:multiLevelType w:val="hybridMultilevel"/>
    <w:tmpl w:val="D9C2869C"/>
    <w:lvl w:ilvl="0" w:tplc="1A826D9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FC6E72"/>
    <w:multiLevelType w:val="hybridMultilevel"/>
    <w:tmpl w:val="C55018BC"/>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6">
    <w:nsid w:val="222F0E00"/>
    <w:multiLevelType w:val="hybridMultilevel"/>
    <w:tmpl w:val="A0206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DD7AD7"/>
    <w:multiLevelType w:val="hybridMultilevel"/>
    <w:tmpl w:val="B76E6992"/>
    <w:lvl w:ilvl="0" w:tplc="1A826D9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7C05BF"/>
    <w:multiLevelType w:val="hybridMultilevel"/>
    <w:tmpl w:val="50008B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BF7E32"/>
    <w:multiLevelType w:val="hybridMultilevel"/>
    <w:tmpl w:val="0E74E4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337476"/>
    <w:multiLevelType w:val="hybridMultilevel"/>
    <w:tmpl w:val="2ED636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11103C"/>
    <w:multiLevelType w:val="hybridMultilevel"/>
    <w:tmpl w:val="162CF7B4"/>
    <w:lvl w:ilvl="0" w:tplc="DF4285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983FA0"/>
    <w:multiLevelType w:val="hybridMultilevel"/>
    <w:tmpl w:val="2E5E3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374891"/>
    <w:multiLevelType w:val="hybridMultilevel"/>
    <w:tmpl w:val="522CBED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35914AB1"/>
    <w:multiLevelType w:val="hybridMultilevel"/>
    <w:tmpl w:val="32541D0C"/>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5">
    <w:nsid w:val="3939069B"/>
    <w:multiLevelType w:val="hybridMultilevel"/>
    <w:tmpl w:val="159ECFB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3CB51EDC"/>
    <w:multiLevelType w:val="hybridMultilevel"/>
    <w:tmpl w:val="F0580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CB584B"/>
    <w:multiLevelType w:val="hybridMultilevel"/>
    <w:tmpl w:val="F766A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DA057E"/>
    <w:multiLevelType w:val="hybridMultilevel"/>
    <w:tmpl w:val="AF142E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2B1100"/>
    <w:multiLevelType w:val="hybridMultilevel"/>
    <w:tmpl w:val="B72CA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F80ED9"/>
    <w:multiLevelType w:val="hybridMultilevel"/>
    <w:tmpl w:val="55CE2D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56167D"/>
    <w:multiLevelType w:val="hybridMultilevel"/>
    <w:tmpl w:val="E2D0DC78"/>
    <w:lvl w:ilvl="0" w:tplc="DF4285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3C2A98"/>
    <w:multiLevelType w:val="hybridMultilevel"/>
    <w:tmpl w:val="0510B674"/>
    <w:lvl w:ilvl="0" w:tplc="150A9E92">
      <w:start w:val="1"/>
      <w:numFmt w:val="bullet"/>
      <w:pStyle w:val="TM3"/>
      <w:lvlText w:val=""/>
      <w:lvlJc w:val="left"/>
      <w:pPr>
        <w:ind w:left="1160" w:hanging="360"/>
      </w:pPr>
      <w:rPr>
        <w:rFonts w:ascii="Wingdings" w:hAnsi="Wingdings"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23">
    <w:nsid w:val="5CCE1037"/>
    <w:multiLevelType w:val="hybridMultilevel"/>
    <w:tmpl w:val="7A0C87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0C7410"/>
    <w:multiLevelType w:val="hybridMultilevel"/>
    <w:tmpl w:val="AA9A4BCE"/>
    <w:lvl w:ilvl="0" w:tplc="1A826D9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8C2C38"/>
    <w:multiLevelType w:val="hybridMultilevel"/>
    <w:tmpl w:val="2E40D7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861E73"/>
    <w:multiLevelType w:val="hybridMultilevel"/>
    <w:tmpl w:val="BA1C4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1F1BC4"/>
    <w:multiLevelType w:val="hybridMultilevel"/>
    <w:tmpl w:val="3E2A35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A77400"/>
    <w:multiLevelType w:val="hybridMultilevel"/>
    <w:tmpl w:val="89CCE8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034FBB"/>
    <w:multiLevelType w:val="hybridMultilevel"/>
    <w:tmpl w:val="DF7AE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D834FC"/>
    <w:multiLevelType w:val="hybridMultilevel"/>
    <w:tmpl w:val="AFAA9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2364833"/>
    <w:multiLevelType w:val="hybridMultilevel"/>
    <w:tmpl w:val="227A0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9D433B"/>
    <w:multiLevelType w:val="hybridMultilevel"/>
    <w:tmpl w:val="F43AEE4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num w:numId="1">
    <w:abstractNumId w:val="30"/>
  </w:num>
  <w:num w:numId="2">
    <w:abstractNumId w:val="2"/>
  </w:num>
  <w:num w:numId="3">
    <w:abstractNumId w:val="11"/>
  </w:num>
  <w:num w:numId="4">
    <w:abstractNumId w:val="21"/>
  </w:num>
  <w:num w:numId="5">
    <w:abstractNumId w:val="4"/>
  </w:num>
  <w:num w:numId="6">
    <w:abstractNumId w:val="10"/>
  </w:num>
  <w:num w:numId="7">
    <w:abstractNumId w:val="22"/>
  </w:num>
  <w:num w:numId="8">
    <w:abstractNumId w:val="24"/>
  </w:num>
  <w:num w:numId="9">
    <w:abstractNumId w:val="6"/>
  </w:num>
  <w:num w:numId="10">
    <w:abstractNumId w:val="7"/>
  </w:num>
  <w:num w:numId="11">
    <w:abstractNumId w:val="19"/>
  </w:num>
  <w:num w:numId="12">
    <w:abstractNumId w:val="9"/>
  </w:num>
  <w:num w:numId="13">
    <w:abstractNumId w:val="20"/>
  </w:num>
  <w:num w:numId="14">
    <w:abstractNumId w:val="32"/>
  </w:num>
  <w:num w:numId="15">
    <w:abstractNumId w:val="14"/>
  </w:num>
  <w:num w:numId="16">
    <w:abstractNumId w:val="5"/>
  </w:num>
  <w:num w:numId="17">
    <w:abstractNumId w:val="15"/>
  </w:num>
  <w:num w:numId="18">
    <w:abstractNumId w:val="29"/>
  </w:num>
  <w:num w:numId="19">
    <w:abstractNumId w:val="0"/>
  </w:num>
  <w:num w:numId="20">
    <w:abstractNumId w:val="12"/>
  </w:num>
  <w:num w:numId="21">
    <w:abstractNumId w:val="23"/>
  </w:num>
  <w:num w:numId="22">
    <w:abstractNumId w:val="16"/>
  </w:num>
  <w:num w:numId="23">
    <w:abstractNumId w:val="13"/>
  </w:num>
  <w:num w:numId="24">
    <w:abstractNumId w:val="25"/>
  </w:num>
  <w:num w:numId="25">
    <w:abstractNumId w:val="31"/>
  </w:num>
  <w:num w:numId="26">
    <w:abstractNumId w:val="18"/>
  </w:num>
  <w:num w:numId="27">
    <w:abstractNumId w:val="27"/>
  </w:num>
  <w:num w:numId="28">
    <w:abstractNumId w:val="8"/>
  </w:num>
  <w:num w:numId="29">
    <w:abstractNumId w:val="1"/>
  </w:num>
  <w:num w:numId="30">
    <w:abstractNumId w:val="28"/>
  </w:num>
  <w:num w:numId="31">
    <w:abstractNumId w:val="26"/>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54"/>
    <w:rsid w:val="00026D36"/>
    <w:rsid w:val="0008699B"/>
    <w:rsid w:val="00091E9C"/>
    <w:rsid w:val="000E2B4A"/>
    <w:rsid w:val="00106613"/>
    <w:rsid w:val="0010731D"/>
    <w:rsid w:val="00110B9B"/>
    <w:rsid w:val="0013280A"/>
    <w:rsid w:val="001346E5"/>
    <w:rsid w:val="001348D9"/>
    <w:rsid w:val="00145841"/>
    <w:rsid w:val="0015386B"/>
    <w:rsid w:val="00162179"/>
    <w:rsid w:val="0017641F"/>
    <w:rsid w:val="00181602"/>
    <w:rsid w:val="00183DD5"/>
    <w:rsid w:val="00186D77"/>
    <w:rsid w:val="001D12FD"/>
    <w:rsid w:val="001E72E4"/>
    <w:rsid w:val="00222F49"/>
    <w:rsid w:val="002301F6"/>
    <w:rsid w:val="002418D0"/>
    <w:rsid w:val="00284D77"/>
    <w:rsid w:val="00286B85"/>
    <w:rsid w:val="002870F5"/>
    <w:rsid w:val="0029199F"/>
    <w:rsid w:val="002B0739"/>
    <w:rsid w:val="002C50A0"/>
    <w:rsid w:val="002E052C"/>
    <w:rsid w:val="002E14DD"/>
    <w:rsid w:val="0030638D"/>
    <w:rsid w:val="00310D5A"/>
    <w:rsid w:val="00315A1E"/>
    <w:rsid w:val="00356F83"/>
    <w:rsid w:val="00371E18"/>
    <w:rsid w:val="003912B7"/>
    <w:rsid w:val="0039236F"/>
    <w:rsid w:val="003B7A6E"/>
    <w:rsid w:val="003C7D22"/>
    <w:rsid w:val="003D16F5"/>
    <w:rsid w:val="003E1710"/>
    <w:rsid w:val="003E39C5"/>
    <w:rsid w:val="00424C83"/>
    <w:rsid w:val="00427864"/>
    <w:rsid w:val="004338CC"/>
    <w:rsid w:val="004345B3"/>
    <w:rsid w:val="00450C3D"/>
    <w:rsid w:val="0047507E"/>
    <w:rsid w:val="004871AC"/>
    <w:rsid w:val="004935B6"/>
    <w:rsid w:val="004947BE"/>
    <w:rsid w:val="004A5CF8"/>
    <w:rsid w:val="004D38C1"/>
    <w:rsid w:val="00500371"/>
    <w:rsid w:val="00503FFC"/>
    <w:rsid w:val="005245D1"/>
    <w:rsid w:val="00530DC1"/>
    <w:rsid w:val="005339E5"/>
    <w:rsid w:val="00543736"/>
    <w:rsid w:val="00546F77"/>
    <w:rsid w:val="00567744"/>
    <w:rsid w:val="00583963"/>
    <w:rsid w:val="005864AA"/>
    <w:rsid w:val="005B0CD8"/>
    <w:rsid w:val="005B2C40"/>
    <w:rsid w:val="005B5D64"/>
    <w:rsid w:val="005C14B2"/>
    <w:rsid w:val="005E6002"/>
    <w:rsid w:val="00601060"/>
    <w:rsid w:val="006019F3"/>
    <w:rsid w:val="00606B0E"/>
    <w:rsid w:val="00615421"/>
    <w:rsid w:val="00656612"/>
    <w:rsid w:val="00661D5B"/>
    <w:rsid w:val="0068254B"/>
    <w:rsid w:val="006903B2"/>
    <w:rsid w:val="006A39CF"/>
    <w:rsid w:val="006C7137"/>
    <w:rsid w:val="006E1CCE"/>
    <w:rsid w:val="006E7E3C"/>
    <w:rsid w:val="007311F3"/>
    <w:rsid w:val="00735B05"/>
    <w:rsid w:val="007859E3"/>
    <w:rsid w:val="0079305C"/>
    <w:rsid w:val="00795522"/>
    <w:rsid w:val="007955E4"/>
    <w:rsid w:val="007A4830"/>
    <w:rsid w:val="007A790B"/>
    <w:rsid w:val="007C4CD2"/>
    <w:rsid w:val="007D5B54"/>
    <w:rsid w:val="007E4B3C"/>
    <w:rsid w:val="007E5FA1"/>
    <w:rsid w:val="007F6859"/>
    <w:rsid w:val="007F6E28"/>
    <w:rsid w:val="008029B1"/>
    <w:rsid w:val="00811B06"/>
    <w:rsid w:val="008166D6"/>
    <w:rsid w:val="008174E6"/>
    <w:rsid w:val="008210F2"/>
    <w:rsid w:val="00841FE5"/>
    <w:rsid w:val="00890F05"/>
    <w:rsid w:val="008B1F82"/>
    <w:rsid w:val="008B4CBA"/>
    <w:rsid w:val="008D3890"/>
    <w:rsid w:val="008D5016"/>
    <w:rsid w:val="008D5A22"/>
    <w:rsid w:val="008F0453"/>
    <w:rsid w:val="008F2138"/>
    <w:rsid w:val="009048CE"/>
    <w:rsid w:val="0091363F"/>
    <w:rsid w:val="00975308"/>
    <w:rsid w:val="00992100"/>
    <w:rsid w:val="00992C6A"/>
    <w:rsid w:val="0099363E"/>
    <w:rsid w:val="009A4098"/>
    <w:rsid w:val="009C0C94"/>
    <w:rsid w:val="009D2EA9"/>
    <w:rsid w:val="009F21FB"/>
    <w:rsid w:val="00A20169"/>
    <w:rsid w:val="00A355BD"/>
    <w:rsid w:val="00AA3257"/>
    <w:rsid w:val="00AB6690"/>
    <w:rsid w:val="00AC2218"/>
    <w:rsid w:val="00AC40A6"/>
    <w:rsid w:val="00AC4FC2"/>
    <w:rsid w:val="00AE6BBF"/>
    <w:rsid w:val="00B11DE2"/>
    <w:rsid w:val="00B13812"/>
    <w:rsid w:val="00B20802"/>
    <w:rsid w:val="00B359A3"/>
    <w:rsid w:val="00B40C36"/>
    <w:rsid w:val="00B81087"/>
    <w:rsid w:val="00B832C9"/>
    <w:rsid w:val="00BA0F21"/>
    <w:rsid w:val="00BA400C"/>
    <w:rsid w:val="00BA5F09"/>
    <w:rsid w:val="00BA7603"/>
    <w:rsid w:val="00BB4467"/>
    <w:rsid w:val="00BD6365"/>
    <w:rsid w:val="00BF2002"/>
    <w:rsid w:val="00C020B3"/>
    <w:rsid w:val="00C12662"/>
    <w:rsid w:val="00C13AC6"/>
    <w:rsid w:val="00C17B73"/>
    <w:rsid w:val="00C325F6"/>
    <w:rsid w:val="00C45E1F"/>
    <w:rsid w:val="00C67752"/>
    <w:rsid w:val="00CA6EE4"/>
    <w:rsid w:val="00CD391D"/>
    <w:rsid w:val="00D234F2"/>
    <w:rsid w:val="00D341A3"/>
    <w:rsid w:val="00D47180"/>
    <w:rsid w:val="00D47AB9"/>
    <w:rsid w:val="00D50982"/>
    <w:rsid w:val="00D650EE"/>
    <w:rsid w:val="00DE19ED"/>
    <w:rsid w:val="00DF628C"/>
    <w:rsid w:val="00E56291"/>
    <w:rsid w:val="00E64B42"/>
    <w:rsid w:val="00E701D7"/>
    <w:rsid w:val="00EB14A8"/>
    <w:rsid w:val="00F4263D"/>
    <w:rsid w:val="00F54C84"/>
    <w:rsid w:val="00F601CE"/>
    <w:rsid w:val="00FC7C3A"/>
    <w:rsid w:val="00FD0DF4"/>
    <w:rsid w:val="00FF0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6F83"/>
    <w:pPr>
      <w:keepNext/>
      <w:keepLines/>
      <w:pBdr>
        <w:left w:val="single" w:sz="4" w:space="4" w:color="E36C0A" w:themeColor="accent6" w:themeShade="BF"/>
        <w:bottom w:val="single" w:sz="4" w:space="1" w:color="E36C0A" w:themeColor="accent6" w:themeShade="BF"/>
      </w:pBdr>
      <w:jc w:val="center"/>
      <w:outlineLvl w:val="0"/>
    </w:pPr>
    <w:rPr>
      <w:rFonts w:eastAsiaTheme="majorEastAsia" w:cstheme="majorBidi"/>
      <w:b/>
      <w:bCs/>
      <w:color w:val="E36C0A" w:themeColor="accent6" w:themeShade="BF"/>
      <w:sz w:val="32"/>
      <w:szCs w:val="28"/>
    </w:rPr>
  </w:style>
  <w:style w:type="paragraph" w:styleId="Titre2">
    <w:name w:val="heading 2"/>
    <w:basedOn w:val="Normal"/>
    <w:next w:val="Normal"/>
    <w:link w:val="Titre2Car"/>
    <w:uiPriority w:val="9"/>
    <w:unhideWhenUsed/>
    <w:qFormat/>
    <w:rsid w:val="00356F83"/>
    <w:pPr>
      <w:keepNext/>
      <w:keepLines/>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356F83"/>
    <w:pPr>
      <w:keepNext/>
      <w:keepLines/>
      <w:outlineLvl w:val="2"/>
    </w:pPr>
    <w:rPr>
      <w:rFonts w:eastAsiaTheme="majorEastAsia" w:cstheme="majorBidi"/>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B54"/>
    <w:pPr>
      <w:tabs>
        <w:tab w:val="center" w:pos="4536"/>
        <w:tab w:val="right" w:pos="9072"/>
      </w:tabs>
      <w:spacing w:line="240" w:lineRule="auto"/>
    </w:pPr>
  </w:style>
  <w:style w:type="character" w:customStyle="1" w:styleId="En-tteCar">
    <w:name w:val="En-tête Car"/>
    <w:basedOn w:val="Policepardfaut"/>
    <w:link w:val="En-tte"/>
    <w:uiPriority w:val="99"/>
    <w:rsid w:val="007D5B54"/>
  </w:style>
  <w:style w:type="paragraph" w:styleId="Pieddepage">
    <w:name w:val="footer"/>
    <w:basedOn w:val="Normal"/>
    <w:link w:val="PieddepageCar"/>
    <w:uiPriority w:val="99"/>
    <w:unhideWhenUsed/>
    <w:rsid w:val="007D5B54"/>
    <w:pPr>
      <w:tabs>
        <w:tab w:val="center" w:pos="4536"/>
        <w:tab w:val="right" w:pos="9072"/>
      </w:tabs>
      <w:spacing w:line="240" w:lineRule="auto"/>
    </w:pPr>
  </w:style>
  <w:style w:type="character" w:customStyle="1" w:styleId="PieddepageCar">
    <w:name w:val="Pied de page Car"/>
    <w:basedOn w:val="Policepardfaut"/>
    <w:link w:val="Pieddepage"/>
    <w:uiPriority w:val="99"/>
    <w:rsid w:val="007D5B54"/>
  </w:style>
  <w:style w:type="paragraph" w:styleId="Sansinterligne">
    <w:name w:val="No Spacing"/>
    <w:link w:val="SansinterligneCar"/>
    <w:uiPriority w:val="1"/>
    <w:qFormat/>
    <w:rsid w:val="007D5B54"/>
    <w:pPr>
      <w:spacing w:line="240" w:lineRule="auto"/>
    </w:pPr>
    <w:rPr>
      <w:rFonts w:eastAsiaTheme="minorEastAsia"/>
      <w:lang w:eastAsia="fr-FR"/>
    </w:rPr>
  </w:style>
  <w:style w:type="character" w:customStyle="1" w:styleId="SansinterligneCar">
    <w:name w:val="Sans interligne Car"/>
    <w:basedOn w:val="Policepardfaut"/>
    <w:link w:val="Sansinterligne"/>
    <w:uiPriority w:val="1"/>
    <w:rsid w:val="007D5B54"/>
    <w:rPr>
      <w:rFonts w:eastAsiaTheme="minorEastAsia"/>
      <w:lang w:eastAsia="fr-FR"/>
    </w:rPr>
  </w:style>
  <w:style w:type="paragraph" w:styleId="Textedebulles">
    <w:name w:val="Balloon Text"/>
    <w:basedOn w:val="Normal"/>
    <w:link w:val="TextedebullesCar"/>
    <w:uiPriority w:val="99"/>
    <w:semiHidden/>
    <w:unhideWhenUsed/>
    <w:rsid w:val="007D5B5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B54"/>
    <w:rPr>
      <w:rFonts w:ascii="Tahoma" w:hAnsi="Tahoma" w:cs="Tahoma"/>
      <w:sz w:val="16"/>
      <w:szCs w:val="16"/>
    </w:rPr>
  </w:style>
  <w:style w:type="character" w:styleId="Lienhypertexte">
    <w:name w:val="Hyperlink"/>
    <w:basedOn w:val="Policepardfaut"/>
    <w:uiPriority w:val="99"/>
    <w:unhideWhenUsed/>
    <w:rsid w:val="008029B1"/>
    <w:rPr>
      <w:color w:val="0000FF" w:themeColor="hyperlink"/>
      <w:u w:val="single"/>
    </w:rPr>
  </w:style>
  <w:style w:type="paragraph" w:styleId="Paragraphedeliste">
    <w:name w:val="List Paragraph"/>
    <w:basedOn w:val="Normal"/>
    <w:uiPriority w:val="34"/>
    <w:qFormat/>
    <w:rsid w:val="008029B1"/>
    <w:pPr>
      <w:ind w:left="720"/>
      <w:contextualSpacing/>
    </w:pPr>
  </w:style>
  <w:style w:type="paragraph" w:styleId="Notedebasdepage">
    <w:name w:val="footnote text"/>
    <w:basedOn w:val="Normal"/>
    <w:link w:val="NotedebasdepageCar"/>
    <w:uiPriority w:val="99"/>
    <w:semiHidden/>
    <w:unhideWhenUsed/>
    <w:rsid w:val="008029B1"/>
    <w:pPr>
      <w:spacing w:line="240" w:lineRule="auto"/>
    </w:pPr>
    <w:rPr>
      <w:sz w:val="20"/>
      <w:szCs w:val="20"/>
    </w:rPr>
  </w:style>
  <w:style w:type="character" w:customStyle="1" w:styleId="NotedebasdepageCar">
    <w:name w:val="Note de bas de page Car"/>
    <w:basedOn w:val="Policepardfaut"/>
    <w:link w:val="Notedebasdepage"/>
    <w:uiPriority w:val="99"/>
    <w:semiHidden/>
    <w:rsid w:val="008029B1"/>
    <w:rPr>
      <w:sz w:val="20"/>
      <w:szCs w:val="20"/>
    </w:rPr>
  </w:style>
  <w:style w:type="character" w:styleId="Appelnotedebasdep">
    <w:name w:val="footnote reference"/>
    <w:basedOn w:val="Policepardfaut"/>
    <w:uiPriority w:val="99"/>
    <w:semiHidden/>
    <w:unhideWhenUsed/>
    <w:rsid w:val="008029B1"/>
    <w:rPr>
      <w:vertAlign w:val="superscript"/>
    </w:rPr>
  </w:style>
  <w:style w:type="character" w:styleId="Lienhypertextesuivivisit">
    <w:name w:val="FollowedHyperlink"/>
    <w:basedOn w:val="Policepardfaut"/>
    <w:uiPriority w:val="99"/>
    <w:semiHidden/>
    <w:unhideWhenUsed/>
    <w:rsid w:val="00A355BD"/>
    <w:rPr>
      <w:color w:val="800080" w:themeColor="followedHyperlink"/>
      <w:u w:val="single"/>
    </w:rPr>
  </w:style>
  <w:style w:type="character" w:customStyle="1" w:styleId="Titre1Car">
    <w:name w:val="Titre 1 Car"/>
    <w:basedOn w:val="Policepardfaut"/>
    <w:link w:val="Titre1"/>
    <w:uiPriority w:val="9"/>
    <w:rsid w:val="00356F83"/>
    <w:rPr>
      <w:rFonts w:eastAsiaTheme="majorEastAsia" w:cstheme="majorBidi"/>
      <w:b/>
      <w:bCs/>
      <w:color w:val="E36C0A" w:themeColor="accent6" w:themeShade="BF"/>
      <w:sz w:val="32"/>
      <w:szCs w:val="28"/>
    </w:rPr>
  </w:style>
  <w:style w:type="character" w:customStyle="1" w:styleId="Titre2Car">
    <w:name w:val="Titre 2 Car"/>
    <w:basedOn w:val="Policepardfaut"/>
    <w:link w:val="Titre2"/>
    <w:uiPriority w:val="9"/>
    <w:rsid w:val="00356F83"/>
    <w:rPr>
      <w:rFonts w:eastAsiaTheme="majorEastAsia" w:cstheme="majorBidi"/>
      <w:b/>
      <w:bCs/>
      <w:sz w:val="28"/>
      <w:szCs w:val="26"/>
    </w:rPr>
  </w:style>
  <w:style w:type="character" w:customStyle="1" w:styleId="Titre3Car">
    <w:name w:val="Titre 3 Car"/>
    <w:basedOn w:val="Policepardfaut"/>
    <w:link w:val="Titre3"/>
    <w:uiPriority w:val="9"/>
    <w:rsid w:val="00356F83"/>
    <w:rPr>
      <w:rFonts w:eastAsiaTheme="majorEastAsia" w:cstheme="majorBidi"/>
      <w:bCs/>
      <w:sz w:val="28"/>
    </w:rPr>
  </w:style>
  <w:style w:type="paragraph" w:styleId="En-ttedetabledesmatires">
    <w:name w:val="TOC Heading"/>
    <w:basedOn w:val="Titre1"/>
    <w:next w:val="Normal"/>
    <w:uiPriority w:val="39"/>
    <w:semiHidden/>
    <w:unhideWhenUsed/>
    <w:qFormat/>
    <w:rsid w:val="00356F83"/>
    <w:pPr>
      <w:pBdr>
        <w:left w:val="none" w:sz="0" w:space="0" w:color="auto"/>
        <w:bottom w:val="none" w:sz="0" w:space="0" w:color="auto"/>
      </w:pBdr>
      <w:spacing w:before="480"/>
      <w:jc w:val="left"/>
      <w:outlineLvl w:val="9"/>
    </w:pPr>
    <w:rPr>
      <w:rFonts w:asciiTheme="majorHAnsi" w:hAnsiTheme="majorHAnsi"/>
      <w:color w:val="365F91" w:themeColor="accent1" w:themeShade="BF"/>
      <w:sz w:val="28"/>
      <w:lang w:eastAsia="fr-FR"/>
    </w:rPr>
  </w:style>
  <w:style w:type="paragraph" w:styleId="TM1">
    <w:name w:val="toc 1"/>
    <w:basedOn w:val="Normal"/>
    <w:next w:val="Normal"/>
    <w:autoRedefine/>
    <w:uiPriority w:val="39"/>
    <w:unhideWhenUsed/>
    <w:rsid w:val="00356F83"/>
    <w:pPr>
      <w:spacing w:after="100"/>
    </w:pPr>
  </w:style>
  <w:style w:type="paragraph" w:styleId="TM2">
    <w:name w:val="toc 2"/>
    <w:basedOn w:val="Normal"/>
    <w:next w:val="Normal"/>
    <w:autoRedefine/>
    <w:uiPriority w:val="39"/>
    <w:unhideWhenUsed/>
    <w:rsid w:val="00356F83"/>
    <w:pPr>
      <w:spacing w:after="100"/>
      <w:ind w:left="220"/>
    </w:pPr>
  </w:style>
  <w:style w:type="paragraph" w:styleId="TM3">
    <w:name w:val="toc 3"/>
    <w:basedOn w:val="Normal"/>
    <w:next w:val="Normal"/>
    <w:autoRedefine/>
    <w:uiPriority w:val="39"/>
    <w:unhideWhenUsed/>
    <w:rsid w:val="00656612"/>
    <w:pPr>
      <w:numPr>
        <w:numId w:val="7"/>
      </w:numPr>
      <w:tabs>
        <w:tab w:val="left" w:pos="880"/>
        <w:tab w:val="right" w:leader="dot" w:pos="9062"/>
      </w:tabs>
      <w:spacing w:after="100"/>
    </w:pPr>
  </w:style>
  <w:style w:type="paragraph" w:styleId="Citationintense">
    <w:name w:val="Intense Quote"/>
    <w:basedOn w:val="Normal"/>
    <w:next w:val="Normal"/>
    <w:link w:val="CitationintenseCar"/>
    <w:uiPriority w:val="30"/>
    <w:qFormat/>
    <w:rsid w:val="009D2EA9"/>
    <w:pPr>
      <w:pBdr>
        <w:bottom w:val="single" w:sz="12" w:space="4" w:color="auto"/>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D2EA9"/>
    <w:rPr>
      <w:b/>
      <w:bCs/>
      <w:i/>
      <w:iCs/>
      <w:color w:val="4F81BD" w:themeColor="accent1"/>
    </w:rPr>
  </w:style>
  <w:style w:type="paragraph" w:styleId="Lgende">
    <w:name w:val="caption"/>
    <w:basedOn w:val="Normal"/>
    <w:next w:val="Normal"/>
    <w:uiPriority w:val="35"/>
    <w:unhideWhenUsed/>
    <w:qFormat/>
    <w:rsid w:val="00583963"/>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6F83"/>
    <w:pPr>
      <w:keepNext/>
      <w:keepLines/>
      <w:pBdr>
        <w:left w:val="single" w:sz="4" w:space="4" w:color="E36C0A" w:themeColor="accent6" w:themeShade="BF"/>
        <w:bottom w:val="single" w:sz="4" w:space="1" w:color="E36C0A" w:themeColor="accent6" w:themeShade="BF"/>
      </w:pBdr>
      <w:jc w:val="center"/>
      <w:outlineLvl w:val="0"/>
    </w:pPr>
    <w:rPr>
      <w:rFonts w:eastAsiaTheme="majorEastAsia" w:cstheme="majorBidi"/>
      <w:b/>
      <w:bCs/>
      <w:color w:val="E36C0A" w:themeColor="accent6" w:themeShade="BF"/>
      <w:sz w:val="32"/>
      <w:szCs w:val="28"/>
    </w:rPr>
  </w:style>
  <w:style w:type="paragraph" w:styleId="Titre2">
    <w:name w:val="heading 2"/>
    <w:basedOn w:val="Normal"/>
    <w:next w:val="Normal"/>
    <w:link w:val="Titre2Car"/>
    <w:uiPriority w:val="9"/>
    <w:unhideWhenUsed/>
    <w:qFormat/>
    <w:rsid w:val="00356F83"/>
    <w:pPr>
      <w:keepNext/>
      <w:keepLines/>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356F83"/>
    <w:pPr>
      <w:keepNext/>
      <w:keepLines/>
      <w:outlineLvl w:val="2"/>
    </w:pPr>
    <w:rPr>
      <w:rFonts w:eastAsiaTheme="majorEastAsia" w:cstheme="majorBidi"/>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B54"/>
    <w:pPr>
      <w:tabs>
        <w:tab w:val="center" w:pos="4536"/>
        <w:tab w:val="right" w:pos="9072"/>
      </w:tabs>
      <w:spacing w:line="240" w:lineRule="auto"/>
    </w:pPr>
  </w:style>
  <w:style w:type="character" w:customStyle="1" w:styleId="En-tteCar">
    <w:name w:val="En-tête Car"/>
    <w:basedOn w:val="Policepardfaut"/>
    <w:link w:val="En-tte"/>
    <w:uiPriority w:val="99"/>
    <w:rsid w:val="007D5B54"/>
  </w:style>
  <w:style w:type="paragraph" w:styleId="Pieddepage">
    <w:name w:val="footer"/>
    <w:basedOn w:val="Normal"/>
    <w:link w:val="PieddepageCar"/>
    <w:uiPriority w:val="99"/>
    <w:unhideWhenUsed/>
    <w:rsid w:val="007D5B54"/>
    <w:pPr>
      <w:tabs>
        <w:tab w:val="center" w:pos="4536"/>
        <w:tab w:val="right" w:pos="9072"/>
      </w:tabs>
      <w:spacing w:line="240" w:lineRule="auto"/>
    </w:pPr>
  </w:style>
  <w:style w:type="character" w:customStyle="1" w:styleId="PieddepageCar">
    <w:name w:val="Pied de page Car"/>
    <w:basedOn w:val="Policepardfaut"/>
    <w:link w:val="Pieddepage"/>
    <w:uiPriority w:val="99"/>
    <w:rsid w:val="007D5B54"/>
  </w:style>
  <w:style w:type="paragraph" w:styleId="Sansinterligne">
    <w:name w:val="No Spacing"/>
    <w:link w:val="SansinterligneCar"/>
    <w:uiPriority w:val="1"/>
    <w:qFormat/>
    <w:rsid w:val="007D5B54"/>
    <w:pPr>
      <w:spacing w:line="240" w:lineRule="auto"/>
    </w:pPr>
    <w:rPr>
      <w:rFonts w:eastAsiaTheme="minorEastAsia"/>
      <w:lang w:eastAsia="fr-FR"/>
    </w:rPr>
  </w:style>
  <w:style w:type="character" w:customStyle="1" w:styleId="SansinterligneCar">
    <w:name w:val="Sans interligne Car"/>
    <w:basedOn w:val="Policepardfaut"/>
    <w:link w:val="Sansinterligne"/>
    <w:uiPriority w:val="1"/>
    <w:rsid w:val="007D5B54"/>
    <w:rPr>
      <w:rFonts w:eastAsiaTheme="minorEastAsia"/>
      <w:lang w:eastAsia="fr-FR"/>
    </w:rPr>
  </w:style>
  <w:style w:type="paragraph" w:styleId="Textedebulles">
    <w:name w:val="Balloon Text"/>
    <w:basedOn w:val="Normal"/>
    <w:link w:val="TextedebullesCar"/>
    <w:uiPriority w:val="99"/>
    <w:semiHidden/>
    <w:unhideWhenUsed/>
    <w:rsid w:val="007D5B5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B54"/>
    <w:rPr>
      <w:rFonts w:ascii="Tahoma" w:hAnsi="Tahoma" w:cs="Tahoma"/>
      <w:sz w:val="16"/>
      <w:szCs w:val="16"/>
    </w:rPr>
  </w:style>
  <w:style w:type="character" w:styleId="Lienhypertexte">
    <w:name w:val="Hyperlink"/>
    <w:basedOn w:val="Policepardfaut"/>
    <w:uiPriority w:val="99"/>
    <w:unhideWhenUsed/>
    <w:rsid w:val="008029B1"/>
    <w:rPr>
      <w:color w:val="0000FF" w:themeColor="hyperlink"/>
      <w:u w:val="single"/>
    </w:rPr>
  </w:style>
  <w:style w:type="paragraph" w:styleId="Paragraphedeliste">
    <w:name w:val="List Paragraph"/>
    <w:basedOn w:val="Normal"/>
    <w:uiPriority w:val="34"/>
    <w:qFormat/>
    <w:rsid w:val="008029B1"/>
    <w:pPr>
      <w:ind w:left="720"/>
      <w:contextualSpacing/>
    </w:pPr>
  </w:style>
  <w:style w:type="paragraph" w:styleId="Notedebasdepage">
    <w:name w:val="footnote text"/>
    <w:basedOn w:val="Normal"/>
    <w:link w:val="NotedebasdepageCar"/>
    <w:uiPriority w:val="99"/>
    <w:semiHidden/>
    <w:unhideWhenUsed/>
    <w:rsid w:val="008029B1"/>
    <w:pPr>
      <w:spacing w:line="240" w:lineRule="auto"/>
    </w:pPr>
    <w:rPr>
      <w:sz w:val="20"/>
      <w:szCs w:val="20"/>
    </w:rPr>
  </w:style>
  <w:style w:type="character" w:customStyle="1" w:styleId="NotedebasdepageCar">
    <w:name w:val="Note de bas de page Car"/>
    <w:basedOn w:val="Policepardfaut"/>
    <w:link w:val="Notedebasdepage"/>
    <w:uiPriority w:val="99"/>
    <w:semiHidden/>
    <w:rsid w:val="008029B1"/>
    <w:rPr>
      <w:sz w:val="20"/>
      <w:szCs w:val="20"/>
    </w:rPr>
  </w:style>
  <w:style w:type="character" w:styleId="Appelnotedebasdep">
    <w:name w:val="footnote reference"/>
    <w:basedOn w:val="Policepardfaut"/>
    <w:uiPriority w:val="99"/>
    <w:semiHidden/>
    <w:unhideWhenUsed/>
    <w:rsid w:val="008029B1"/>
    <w:rPr>
      <w:vertAlign w:val="superscript"/>
    </w:rPr>
  </w:style>
  <w:style w:type="character" w:styleId="Lienhypertextesuivivisit">
    <w:name w:val="FollowedHyperlink"/>
    <w:basedOn w:val="Policepardfaut"/>
    <w:uiPriority w:val="99"/>
    <w:semiHidden/>
    <w:unhideWhenUsed/>
    <w:rsid w:val="00A355BD"/>
    <w:rPr>
      <w:color w:val="800080" w:themeColor="followedHyperlink"/>
      <w:u w:val="single"/>
    </w:rPr>
  </w:style>
  <w:style w:type="character" w:customStyle="1" w:styleId="Titre1Car">
    <w:name w:val="Titre 1 Car"/>
    <w:basedOn w:val="Policepardfaut"/>
    <w:link w:val="Titre1"/>
    <w:uiPriority w:val="9"/>
    <w:rsid w:val="00356F83"/>
    <w:rPr>
      <w:rFonts w:eastAsiaTheme="majorEastAsia" w:cstheme="majorBidi"/>
      <w:b/>
      <w:bCs/>
      <w:color w:val="E36C0A" w:themeColor="accent6" w:themeShade="BF"/>
      <w:sz w:val="32"/>
      <w:szCs w:val="28"/>
    </w:rPr>
  </w:style>
  <w:style w:type="character" w:customStyle="1" w:styleId="Titre2Car">
    <w:name w:val="Titre 2 Car"/>
    <w:basedOn w:val="Policepardfaut"/>
    <w:link w:val="Titre2"/>
    <w:uiPriority w:val="9"/>
    <w:rsid w:val="00356F83"/>
    <w:rPr>
      <w:rFonts w:eastAsiaTheme="majorEastAsia" w:cstheme="majorBidi"/>
      <w:b/>
      <w:bCs/>
      <w:sz w:val="28"/>
      <w:szCs w:val="26"/>
    </w:rPr>
  </w:style>
  <w:style w:type="character" w:customStyle="1" w:styleId="Titre3Car">
    <w:name w:val="Titre 3 Car"/>
    <w:basedOn w:val="Policepardfaut"/>
    <w:link w:val="Titre3"/>
    <w:uiPriority w:val="9"/>
    <w:rsid w:val="00356F83"/>
    <w:rPr>
      <w:rFonts w:eastAsiaTheme="majorEastAsia" w:cstheme="majorBidi"/>
      <w:bCs/>
      <w:sz w:val="28"/>
    </w:rPr>
  </w:style>
  <w:style w:type="paragraph" w:styleId="En-ttedetabledesmatires">
    <w:name w:val="TOC Heading"/>
    <w:basedOn w:val="Titre1"/>
    <w:next w:val="Normal"/>
    <w:uiPriority w:val="39"/>
    <w:semiHidden/>
    <w:unhideWhenUsed/>
    <w:qFormat/>
    <w:rsid w:val="00356F83"/>
    <w:pPr>
      <w:pBdr>
        <w:left w:val="none" w:sz="0" w:space="0" w:color="auto"/>
        <w:bottom w:val="none" w:sz="0" w:space="0" w:color="auto"/>
      </w:pBdr>
      <w:spacing w:before="480"/>
      <w:jc w:val="left"/>
      <w:outlineLvl w:val="9"/>
    </w:pPr>
    <w:rPr>
      <w:rFonts w:asciiTheme="majorHAnsi" w:hAnsiTheme="majorHAnsi"/>
      <w:color w:val="365F91" w:themeColor="accent1" w:themeShade="BF"/>
      <w:sz w:val="28"/>
      <w:lang w:eastAsia="fr-FR"/>
    </w:rPr>
  </w:style>
  <w:style w:type="paragraph" w:styleId="TM1">
    <w:name w:val="toc 1"/>
    <w:basedOn w:val="Normal"/>
    <w:next w:val="Normal"/>
    <w:autoRedefine/>
    <w:uiPriority w:val="39"/>
    <w:unhideWhenUsed/>
    <w:rsid w:val="00356F83"/>
    <w:pPr>
      <w:spacing w:after="100"/>
    </w:pPr>
  </w:style>
  <w:style w:type="paragraph" w:styleId="TM2">
    <w:name w:val="toc 2"/>
    <w:basedOn w:val="Normal"/>
    <w:next w:val="Normal"/>
    <w:autoRedefine/>
    <w:uiPriority w:val="39"/>
    <w:unhideWhenUsed/>
    <w:rsid w:val="00356F83"/>
    <w:pPr>
      <w:spacing w:after="100"/>
      <w:ind w:left="220"/>
    </w:pPr>
  </w:style>
  <w:style w:type="paragraph" w:styleId="TM3">
    <w:name w:val="toc 3"/>
    <w:basedOn w:val="Normal"/>
    <w:next w:val="Normal"/>
    <w:autoRedefine/>
    <w:uiPriority w:val="39"/>
    <w:unhideWhenUsed/>
    <w:rsid w:val="00656612"/>
    <w:pPr>
      <w:numPr>
        <w:numId w:val="7"/>
      </w:numPr>
      <w:tabs>
        <w:tab w:val="left" w:pos="880"/>
        <w:tab w:val="right" w:leader="dot" w:pos="9062"/>
      </w:tabs>
      <w:spacing w:after="100"/>
    </w:pPr>
  </w:style>
  <w:style w:type="paragraph" w:styleId="Citationintense">
    <w:name w:val="Intense Quote"/>
    <w:basedOn w:val="Normal"/>
    <w:next w:val="Normal"/>
    <w:link w:val="CitationintenseCar"/>
    <w:uiPriority w:val="30"/>
    <w:qFormat/>
    <w:rsid w:val="009D2EA9"/>
    <w:pPr>
      <w:pBdr>
        <w:bottom w:val="single" w:sz="12" w:space="4" w:color="auto"/>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D2EA9"/>
    <w:rPr>
      <w:b/>
      <w:bCs/>
      <w:i/>
      <w:iCs/>
      <w:color w:val="4F81BD" w:themeColor="accent1"/>
    </w:rPr>
  </w:style>
  <w:style w:type="paragraph" w:styleId="Lgende">
    <w:name w:val="caption"/>
    <w:basedOn w:val="Normal"/>
    <w:next w:val="Normal"/>
    <w:uiPriority w:val="35"/>
    <w:unhideWhenUsed/>
    <w:qFormat/>
    <w:rsid w:val="0058396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1918">
      <w:bodyDiv w:val="1"/>
      <w:marLeft w:val="0"/>
      <w:marRight w:val="0"/>
      <w:marTop w:val="0"/>
      <w:marBottom w:val="0"/>
      <w:divBdr>
        <w:top w:val="none" w:sz="0" w:space="0" w:color="auto"/>
        <w:left w:val="none" w:sz="0" w:space="0" w:color="auto"/>
        <w:bottom w:val="none" w:sz="0" w:space="0" w:color="auto"/>
        <w:right w:val="none" w:sz="0" w:space="0" w:color="auto"/>
      </w:divBdr>
    </w:div>
    <w:div w:id="1823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rah.org/" TargetMode="External"/><Relationship Id="rId18" Type="http://schemas.openxmlformats.org/officeDocument/2006/relationships/hyperlink" Target="http://www.firah.org/centre-ressources/fr/notice/270/la-scolarisation-des-enfants-en-situation-de-handicap-dans-les-pays-europeens.html" TargetMode="External"/><Relationship Id="rId26" Type="http://schemas.openxmlformats.org/officeDocument/2006/relationships/hyperlink" Target="http://zeroproject.org/wp-content/uploads/2013/12/ZERO-PROJECT-REPORT-2014.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ec.europa.eu/social/BlobServlet?docId=4363...en" TargetMode="External"/><Relationship Id="rId7" Type="http://schemas.openxmlformats.org/officeDocument/2006/relationships/footnotes" Target="footnotes.xml"/><Relationship Id="rId12" Type="http://schemas.openxmlformats.org/officeDocument/2006/relationships/hyperlink" Target="http://www.cfhe.org/" TargetMode="External"/><Relationship Id="rId17" Type="http://schemas.openxmlformats.org/officeDocument/2006/relationships/hyperlink" Target="http://www.firah.org/centre-ressources/fr/notice/269/la-scolarisation-des-eleves-en-situation-de-handicap-en-europe.html" TargetMode="External"/><Relationship Id="rId25" Type="http://schemas.openxmlformats.org/officeDocument/2006/relationships/hyperlink" Target="http://www.cemaforre.asso.fr/downloads/autonomic_2012/peac_ecca/PEAC_discrim_FR.pdf" TargetMode="External"/><Relationship Id="rId33" Type="http://schemas.openxmlformats.org/officeDocument/2006/relationships/hyperlink" Target="http://onlinelibrary.wiley.com/doi/10.1111/j.1365-2788.2009.01239.x/abstract" TargetMode="External"/><Relationship Id="rId38" Type="http://schemas.openxmlformats.org/officeDocument/2006/relationships/hyperlink" Target="http://fra.europa.eu/en/publication/2014/right-political-participation-persons-disabilities-human-rights-indicators" TargetMode="External"/><Relationship Id="rId2" Type="http://schemas.openxmlformats.org/officeDocument/2006/relationships/numbering" Target="numbering.xml"/><Relationship Id="rId16" Type="http://schemas.openxmlformats.org/officeDocument/2006/relationships/hyperlink" Target="mailto:cecile.vallee@firah.org" TargetMode="External"/><Relationship Id="rId20" Type="http://schemas.openxmlformats.org/officeDocument/2006/relationships/hyperlink" Target="http://www.firah.org/centre-ressources/notice/316/education-and-disability-special-needs-policies-and-practices-in-education-training-and-employment-for-students-with-disabilities-and-special-educational-needs-in-the-eu.html" TargetMode="External"/><Relationship Id="rId29" Type="http://schemas.openxmlformats.org/officeDocument/2006/relationships/hyperlink" Target="http://www.ajupid.eu/fr/recherch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firah.org/centre-ressources/notice/319/the-labour-market-situation-of-disabled-people-in-european-countries-and-implementation-of-employment-policies-a-summary-of-evidence-from-country-reports-and-research-studies.html" TargetMode="External"/><Relationship Id="rId32" Type="http://schemas.openxmlformats.org/officeDocument/2006/relationships/hyperlink" Target="http://ec.europa.eu/social/BlobServlet?docId=2088&amp;langId=fr" TargetMode="External"/><Relationship Id="rId37" Type="http://schemas.openxmlformats.org/officeDocument/2006/relationships/hyperlink" Target="http://fra.europa.eu/en/publication/2014/right-political-participation-persons-disabilities-summar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irah.org/centre-ressources/" TargetMode="External"/><Relationship Id="rId23" Type="http://schemas.openxmlformats.org/officeDocument/2006/relationships/hyperlink" Target="http://www.firah.org/centre-ressources/notice/318/compendium-of-good-practice-supported-employment-for-people-with-disabilities-in-the-eu-and-efta-eea.html" TargetMode="External"/><Relationship Id="rId28" Type="http://schemas.openxmlformats.org/officeDocument/2006/relationships/hyperlink" Target="http://www.cnsa.fr/documentation/synthese_transversale.pdf" TargetMode="External"/><Relationship Id="rId36" Type="http://schemas.openxmlformats.org/officeDocument/2006/relationships/hyperlink" Target="http://zeroproject.org/wp-content/uploads/2015/03/ZP-Report_Barrierfree.pdf" TargetMode="External"/><Relationship Id="rId10" Type="http://schemas.openxmlformats.org/officeDocument/2006/relationships/image" Target="media/image2.png"/><Relationship Id="rId19" Type="http://schemas.openxmlformats.org/officeDocument/2006/relationships/hyperlink" Target="http://www.firah.org/centre-ressources/notice/315/inclusive-education-for-young-disabled-people-in-europe-trends-issues-and-challenges.html" TargetMode="External"/><Relationship Id="rId31" Type="http://schemas.openxmlformats.org/officeDocument/2006/relationships/hyperlink" Target="http://www.ladocumentationfrancaise.fr/var/storage/rapports-publics/03400067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firah.org/centre-ressources/notice/317/supported-employment-for-people-with-disabilities-in-the-eu-and-efta-eea-good-practices-and-recommendations-in-support-of-a-flexicurity-approach.html" TargetMode="External"/><Relationship Id="rId27" Type="http://schemas.openxmlformats.org/officeDocument/2006/relationships/hyperlink" Target="http://ec.europa.eu/digital-agenda/en/news/study-assessing-and-promoting-e-accessibility" TargetMode="External"/><Relationship Id="rId30" Type="http://schemas.openxmlformats.org/officeDocument/2006/relationships/hyperlink" Target="http://fra.europa.eu/fr/publication/2013/la-capacite-juridique-des-personnes-souffrant-de-troubles-mentaux-et-des-personnes" TargetMode="External"/><Relationship Id="rId35" Type="http://schemas.openxmlformats.org/officeDocument/2006/relationships/hyperlink" Target="http://ec.europa.eu/social/BlobServlet?docId=4364...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charter/pdf/text_fr.pdf" TargetMode="External"/><Relationship Id="rId2" Type="http://schemas.openxmlformats.org/officeDocument/2006/relationships/hyperlink" Target="http://www.un.org/french/disabilities/default.asp?id=1414" TargetMode="External"/><Relationship Id="rId1" Type="http://schemas.openxmlformats.org/officeDocument/2006/relationships/hyperlink" Target="http://www.un.org/french/disabilities/default.asp?id=14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A95A-9A7F-4A3D-B9DE-36B66477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8826</Words>
  <Characters>48543</Characters>
  <Application>Microsoft Office Word</Application>
  <DocSecurity>0</DocSecurity>
  <Lines>404</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BOZHKOVA</dc:creator>
  <cp:lastModifiedBy>Gergana BOZHKOVA</cp:lastModifiedBy>
  <cp:revision>3</cp:revision>
  <dcterms:created xsi:type="dcterms:W3CDTF">2015-10-27T08:03:00Z</dcterms:created>
  <dcterms:modified xsi:type="dcterms:W3CDTF">2015-10-27T08:11:00Z</dcterms:modified>
</cp:coreProperties>
</file>